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1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ppendix 1: Constitution Review 2019 "/>
      </w:tblPr>
      <w:tblGrid>
        <w:gridCol w:w="1161"/>
        <w:gridCol w:w="6522"/>
        <w:gridCol w:w="1277"/>
        <w:gridCol w:w="6237"/>
      </w:tblGrid>
      <w:tr w:rsidR="0098602B" w:rsidRPr="0098602B" w14:paraId="2F080DD8" w14:textId="77777777" w:rsidTr="00F3216D">
        <w:trPr>
          <w:tblHeader/>
        </w:trPr>
        <w:tc>
          <w:tcPr>
            <w:tcW w:w="1162" w:type="dxa"/>
            <w:tcBorders>
              <w:bottom w:val="single" w:sz="4" w:space="0" w:color="auto"/>
            </w:tcBorders>
            <w:shd w:val="clear" w:color="auto" w:fill="D9D9D9"/>
            <w:vAlign w:val="center"/>
          </w:tcPr>
          <w:p w14:paraId="590DBBC4" w14:textId="77777777" w:rsidR="006E7EC6" w:rsidRPr="0098602B" w:rsidRDefault="006E7EC6" w:rsidP="00441800">
            <w:pPr>
              <w:spacing w:before="120" w:after="120"/>
              <w:rPr>
                <w:b/>
              </w:rPr>
            </w:pPr>
            <w:r w:rsidRPr="0098602B">
              <w:rPr>
                <w:b/>
              </w:rPr>
              <w:t>Ref.</w:t>
            </w:r>
          </w:p>
        </w:tc>
        <w:tc>
          <w:tcPr>
            <w:tcW w:w="6521" w:type="dxa"/>
            <w:tcBorders>
              <w:bottom w:val="single" w:sz="4" w:space="0" w:color="auto"/>
            </w:tcBorders>
            <w:shd w:val="clear" w:color="auto" w:fill="D9D9D9"/>
          </w:tcPr>
          <w:p w14:paraId="7EE93A9F" w14:textId="77777777" w:rsidR="006E7EC6" w:rsidRPr="0098602B" w:rsidRDefault="006E7EC6" w:rsidP="006E7EC6">
            <w:pPr>
              <w:spacing w:before="120"/>
              <w:rPr>
                <w:b/>
              </w:rPr>
            </w:pPr>
            <w:r w:rsidRPr="0098602B">
              <w:rPr>
                <w:b/>
              </w:rPr>
              <w:t>Rationale for proposed amendment</w:t>
            </w:r>
          </w:p>
        </w:tc>
        <w:tc>
          <w:tcPr>
            <w:tcW w:w="1277" w:type="dxa"/>
            <w:tcBorders>
              <w:bottom w:val="single" w:sz="4" w:space="0" w:color="auto"/>
            </w:tcBorders>
            <w:shd w:val="clear" w:color="auto" w:fill="D9D9D9"/>
          </w:tcPr>
          <w:p w14:paraId="547ADF98" w14:textId="77777777" w:rsidR="006E7EC6" w:rsidRPr="0098602B" w:rsidRDefault="006E7EC6" w:rsidP="00723EDF">
            <w:pPr>
              <w:spacing w:before="120"/>
              <w:rPr>
                <w:b/>
              </w:rPr>
            </w:pPr>
            <w:r w:rsidRPr="0098602B">
              <w:rPr>
                <w:b/>
              </w:rPr>
              <w:t>New ref:</w:t>
            </w:r>
          </w:p>
        </w:tc>
        <w:tc>
          <w:tcPr>
            <w:tcW w:w="6237" w:type="dxa"/>
            <w:tcBorders>
              <w:bottom w:val="single" w:sz="4" w:space="0" w:color="auto"/>
            </w:tcBorders>
            <w:shd w:val="clear" w:color="auto" w:fill="D9D9D9"/>
            <w:vAlign w:val="center"/>
          </w:tcPr>
          <w:p w14:paraId="08E0B18C" w14:textId="77777777" w:rsidR="006E7EC6" w:rsidRPr="0098602B" w:rsidRDefault="006E7EC6" w:rsidP="009403F0">
            <w:pPr>
              <w:spacing w:before="120" w:after="120"/>
              <w:rPr>
                <w:b/>
              </w:rPr>
            </w:pPr>
            <w:r w:rsidRPr="0098602B">
              <w:rPr>
                <w:b/>
              </w:rPr>
              <w:t>Proposed text</w:t>
            </w:r>
            <w:r w:rsidR="00F75E08" w:rsidRPr="0098602B">
              <w:rPr>
                <w:b/>
              </w:rPr>
              <w:t xml:space="preserve"> </w:t>
            </w:r>
          </w:p>
        </w:tc>
      </w:tr>
      <w:tr w:rsidR="0098602B" w:rsidRPr="0098602B" w14:paraId="5C33B65D" w14:textId="77777777" w:rsidTr="00F3216D">
        <w:trPr>
          <w:trHeight w:val="575"/>
        </w:trPr>
        <w:tc>
          <w:tcPr>
            <w:tcW w:w="1162" w:type="dxa"/>
            <w:shd w:val="clear" w:color="auto" w:fill="F2F2F2"/>
            <w:vAlign w:val="center"/>
          </w:tcPr>
          <w:p w14:paraId="6307E3F8" w14:textId="4E37A18F" w:rsidR="002C0BD8" w:rsidRPr="0098602B" w:rsidRDefault="00B6328F" w:rsidP="00CD06DC">
            <w:pPr>
              <w:jc w:val="center"/>
              <w:rPr>
                <w:b/>
              </w:rPr>
            </w:pPr>
            <w:r w:rsidRPr="0098602B">
              <w:rPr>
                <w:b/>
              </w:rPr>
              <w:t>Part 3</w:t>
            </w:r>
          </w:p>
        </w:tc>
        <w:tc>
          <w:tcPr>
            <w:tcW w:w="14035" w:type="dxa"/>
            <w:gridSpan w:val="3"/>
            <w:shd w:val="clear" w:color="auto" w:fill="F2F2F2"/>
          </w:tcPr>
          <w:p w14:paraId="40C18C64" w14:textId="494A1FE5" w:rsidR="002C0BD8" w:rsidRPr="0098602B" w:rsidRDefault="00B6328F" w:rsidP="002C0BD8">
            <w:pPr>
              <w:spacing w:before="120"/>
              <w:rPr>
                <w:b/>
              </w:rPr>
            </w:pPr>
            <w:r w:rsidRPr="0098602B">
              <w:rPr>
                <w:b/>
              </w:rPr>
              <w:t xml:space="preserve">Council responsibilities and executive </w:t>
            </w:r>
            <w:r w:rsidR="00930EBC" w:rsidRPr="0098602B">
              <w:rPr>
                <w:b/>
              </w:rPr>
              <w:t>responsibilities</w:t>
            </w:r>
          </w:p>
        </w:tc>
      </w:tr>
      <w:tr w:rsidR="0098602B" w:rsidRPr="0098602B" w14:paraId="22831CC9" w14:textId="47DCEC57" w:rsidTr="00F3216D">
        <w:trPr>
          <w:trHeight w:val="575"/>
        </w:trPr>
        <w:tc>
          <w:tcPr>
            <w:tcW w:w="1162" w:type="dxa"/>
            <w:shd w:val="clear" w:color="auto" w:fill="FFFFFF" w:themeFill="background1"/>
            <w:vAlign w:val="center"/>
          </w:tcPr>
          <w:p w14:paraId="54AC7ADC" w14:textId="38D9E44A" w:rsidR="00142963" w:rsidRPr="0098602B" w:rsidRDefault="00142963" w:rsidP="00CD06DC">
            <w:pPr>
              <w:jc w:val="center"/>
            </w:pPr>
            <w:r w:rsidRPr="0098602B">
              <w:t>3.7</w:t>
            </w:r>
          </w:p>
        </w:tc>
        <w:tc>
          <w:tcPr>
            <w:tcW w:w="6521" w:type="dxa"/>
            <w:shd w:val="clear" w:color="auto" w:fill="FFFFFF" w:themeFill="background1"/>
          </w:tcPr>
          <w:p w14:paraId="7951A3C1" w14:textId="2BCA12AE" w:rsidR="00142963" w:rsidRPr="0098602B" w:rsidRDefault="00142963" w:rsidP="004D4870">
            <w:pPr>
              <w:spacing w:before="120"/>
            </w:pPr>
            <w:r w:rsidRPr="0098602B">
              <w:t xml:space="preserve">To make provision for authorisations to be given to act on the Council’s behalf </w:t>
            </w:r>
            <w:r w:rsidR="00D06381" w:rsidRPr="0098602B">
              <w:t xml:space="preserve">if the responsible officer has </w:t>
            </w:r>
            <w:r w:rsidRPr="0098602B">
              <w:t xml:space="preserve">a conflict </w:t>
            </w:r>
            <w:r w:rsidR="00573E72" w:rsidRPr="0098602B">
              <w:t>of interest</w:t>
            </w:r>
            <w:r w:rsidR="00B32184" w:rsidRPr="0098602B">
              <w:t>.</w:t>
            </w:r>
          </w:p>
          <w:p w14:paraId="3612DB46" w14:textId="023B58A2" w:rsidR="001E2582" w:rsidRPr="0098602B" w:rsidRDefault="00142963" w:rsidP="004D4870">
            <w:pPr>
              <w:spacing w:before="120"/>
            </w:pPr>
            <w:r w:rsidRPr="0098602B">
              <w:rPr>
                <w:b/>
              </w:rPr>
              <w:t>Rationale:</w:t>
            </w:r>
            <w:r w:rsidR="004B6ED8" w:rsidRPr="0098602B">
              <w:rPr>
                <w:b/>
              </w:rPr>
              <w:t xml:space="preserve"> </w:t>
            </w:r>
            <w:r w:rsidRPr="0098602B">
              <w:t xml:space="preserve">To provide clarity </w:t>
            </w:r>
            <w:r w:rsidR="00B32184" w:rsidRPr="0098602B">
              <w:t>about how officers’ conflicts of interest will be avoided when delegated functions are to be undertaken.</w:t>
            </w:r>
            <w:r w:rsidR="001E2582" w:rsidRPr="0098602B">
              <w:t xml:space="preserve"> Conflicts of interest might arise where officers of the Council are on the board or working on behalf of a Council owned company or joint venture.</w:t>
            </w:r>
            <w:r w:rsidR="00217114" w:rsidRPr="0098602B">
              <w:t xml:space="preserve"> Officers </w:t>
            </w:r>
            <w:r w:rsidR="009E1675" w:rsidRPr="0098602B">
              <w:t xml:space="preserve">with responsibility for a decision in which they have a conflict of interest would not take the decision or delegate it to another officer. In this proposal it would fall to another </w:t>
            </w:r>
            <w:r w:rsidR="00BB722E" w:rsidRPr="0098602B">
              <w:t>m</w:t>
            </w:r>
            <w:r w:rsidR="009E1675" w:rsidRPr="0098602B">
              <w:t>ember of the senior management structure, in consultation with the Head of Law and Governance and the Head of Financial Services, to authorise another officer to take the decision.</w:t>
            </w:r>
          </w:p>
          <w:p w14:paraId="77F2390A" w14:textId="2DCF34B0" w:rsidR="00A27228" w:rsidRPr="0098602B" w:rsidRDefault="00A27228" w:rsidP="00F23B9C">
            <w:pPr>
              <w:spacing w:before="120"/>
            </w:pPr>
          </w:p>
        </w:tc>
        <w:tc>
          <w:tcPr>
            <w:tcW w:w="1277" w:type="dxa"/>
            <w:shd w:val="clear" w:color="auto" w:fill="FFFFFF" w:themeFill="background1"/>
          </w:tcPr>
          <w:p w14:paraId="5ABBA5B5" w14:textId="6B0F3B1D" w:rsidR="00142963" w:rsidRPr="0098602B" w:rsidRDefault="00573E72" w:rsidP="002C0BD8">
            <w:pPr>
              <w:spacing w:before="120"/>
            </w:pPr>
            <w:r w:rsidRPr="0098602B">
              <w:t>3.7</w:t>
            </w:r>
          </w:p>
        </w:tc>
        <w:tc>
          <w:tcPr>
            <w:tcW w:w="6237" w:type="dxa"/>
            <w:shd w:val="clear" w:color="auto" w:fill="FFFFFF" w:themeFill="background1"/>
          </w:tcPr>
          <w:p w14:paraId="535B6F7E" w14:textId="77777777" w:rsidR="00573E72" w:rsidRPr="0098602B" w:rsidRDefault="00573E72" w:rsidP="004D4870">
            <w:pPr>
              <w:spacing w:before="120"/>
            </w:pPr>
            <w:r w:rsidRPr="0098602B">
              <w:t>(f) Conflicts</w:t>
            </w:r>
          </w:p>
          <w:p w14:paraId="699AAFBD" w14:textId="77777777" w:rsidR="00142963" w:rsidRPr="0098602B" w:rsidRDefault="00573E72" w:rsidP="004D4870">
            <w:pPr>
              <w:spacing w:before="120"/>
              <w:rPr>
                <w:u w:val="single"/>
              </w:rPr>
            </w:pPr>
            <w:r w:rsidRPr="0098602B">
              <w:t xml:space="preserve">As the Council and its companies are separate legal entities, care must be taken to ensure that conflicts of interest are avoided. When Council officers are asked to provide advice in a situation where the interests of the Council and the company are not entirely aligned, individual officers should be assigned to advise or represent one side or the other, but should not act for both. </w:t>
            </w:r>
            <w:r w:rsidRPr="0098602B">
              <w:rPr>
                <w:u w:val="single"/>
              </w:rPr>
              <w:t xml:space="preserve">Officers in the senior management structure can authorise officers to undertake delegated functions (Part 4.4). Where </w:t>
            </w:r>
            <w:r w:rsidR="006E19E4" w:rsidRPr="0098602B">
              <w:rPr>
                <w:u w:val="single"/>
              </w:rPr>
              <w:t>an authorising officer has</w:t>
            </w:r>
            <w:r w:rsidRPr="0098602B">
              <w:rPr>
                <w:u w:val="single"/>
              </w:rPr>
              <w:t xml:space="preserve"> a conflict of interest another officer in the senior management structure, in consultation with the Head of Law and Governance and the Head of Financial Services, can authorise officers to undertake delegated functions as necessary.</w:t>
            </w:r>
          </w:p>
          <w:p w14:paraId="0163B27B" w14:textId="39BD22A4" w:rsidR="000F0941" w:rsidRPr="0098602B" w:rsidRDefault="000F0941" w:rsidP="004D4870">
            <w:pPr>
              <w:spacing w:before="120"/>
            </w:pPr>
          </w:p>
        </w:tc>
      </w:tr>
      <w:tr w:rsidR="0098602B" w:rsidRPr="0098602B" w14:paraId="18F74FFF" w14:textId="1319393B" w:rsidTr="00F3216D">
        <w:trPr>
          <w:trHeight w:val="575"/>
        </w:trPr>
        <w:tc>
          <w:tcPr>
            <w:tcW w:w="1162" w:type="dxa"/>
            <w:shd w:val="clear" w:color="auto" w:fill="FFFFFF" w:themeFill="background1"/>
            <w:vAlign w:val="center"/>
          </w:tcPr>
          <w:p w14:paraId="021303D9" w14:textId="0C72D916" w:rsidR="00B6328F" w:rsidRPr="0098602B" w:rsidRDefault="00B6328F" w:rsidP="00CD06DC">
            <w:pPr>
              <w:jc w:val="center"/>
              <w:rPr>
                <w:b/>
              </w:rPr>
            </w:pPr>
          </w:p>
        </w:tc>
        <w:tc>
          <w:tcPr>
            <w:tcW w:w="6521" w:type="dxa"/>
            <w:shd w:val="clear" w:color="auto" w:fill="FFFFFF" w:themeFill="background1"/>
          </w:tcPr>
          <w:p w14:paraId="3F58EB14" w14:textId="39C3F3E7" w:rsidR="00B6328F" w:rsidRPr="0098602B" w:rsidRDefault="00930EBC" w:rsidP="004D4870">
            <w:pPr>
              <w:spacing w:before="120"/>
            </w:pPr>
            <w:r w:rsidRPr="0098602B">
              <w:t>To make provision</w:t>
            </w:r>
            <w:r w:rsidR="004E4F68" w:rsidRPr="0098602B">
              <w:t xml:space="preserve"> in the Constitution</w:t>
            </w:r>
            <w:r w:rsidRPr="0098602B">
              <w:t xml:space="preserve"> for the </w:t>
            </w:r>
            <w:r w:rsidR="004E4F68" w:rsidRPr="0098602B">
              <w:t>Council</w:t>
            </w:r>
            <w:r w:rsidRPr="0098602B">
              <w:t xml:space="preserve"> to enter into joint arrangements with other local authorities if required</w:t>
            </w:r>
            <w:r w:rsidR="00FC6FDC" w:rsidRPr="0098602B">
              <w:t xml:space="preserve">. </w:t>
            </w:r>
          </w:p>
          <w:p w14:paraId="005B40DE" w14:textId="77777777" w:rsidR="00930EBC" w:rsidRPr="0098602B" w:rsidRDefault="00930EBC" w:rsidP="004D4870">
            <w:pPr>
              <w:spacing w:before="120"/>
              <w:rPr>
                <w:b/>
              </w:rPr>
            </w:pPr>
          </w:p>
          <w:p w14:paraId="63EC97E7" w14:textId="783DE2FC" w:rsidR="00930EBC" w:rsidRPr="0098602B" w:rsidRDefault="00930EBC" w:rsidP="004D4870">
            <w:pPr>
              <w:spacing w:before="120"/>
            </w:pPr>
            <w:r w:rsidRPr="0098602B">
              <w:rPr>
                <w:b/>
              </w:rPr>
              <w:t>Rationale:</w:t>
            </w:r>
            <w:r w:rsidR="004B6ED8" w:rsidRPr="0098602B">
              <w:rPr>
                <w:b/>
              </w:rPr>
              <w:t xml:space="preserve"> </w:t>
            </w:r>
            <w:r w:rsidRPr="0098602B">
              <w:t xml:space="preserve">To </w:t>
            </w:r>
            <w:r w:rsidR="005E3549" w:rsidRPr="0098602B">
              <w:t xml:space="preserve">include and </w:t>
            </w:r>
            <w:r w:rsidRPr="0098602B">
              <w:t xml:space="preserve">provide clarity </w:t>
            </w:r>
            <w:r w:rsidR="00B32184" w:rsidRPr="0098602B">
              <w:t xml:space="preserve">about responsibilities in relation to </w:t>
            </w:r>
            <w:r w:rsidRPr="0098602B">
              <w:t>joint arrangements</w:t>
            </w:r>
            <w:r w:rsidR="00B32184" w:rsidRPr="0098602B">
              <w:t>.</w:t>
            </w:r>
            <w:r w:rsidR="00D1033A" w:rsidRPr="0098602B">
              <w:t xml:space="preserve"> The Council has the ability to enter into joint arrangements under the Local Government Act 1972 (as amended) and </w:t>
            </w:r>
            <w:r w:rsidR="00600126" w:rsidRPr="0098602B">
              <w:t>provisions for joint arrangements are not currently included in the Constitution</w:t>
            </w:r>
            <w:r w:rsidR="00D1033A" w:rsidRPr="0098602B">
              <w:t>.</w:t>
            </w:r>
            <w:r w:rsidR="007A1E00" w:rsidRPr="0098602B">
              <w:t xml:space="preserve"> Joint arrangements may be for functions </w:t>
            </w:r>
            <w:r w:rsidR="004E4F68" w:rsidRPr="0098602B">
              <w:t>that</w:t>
            </w:r>
            <w:r w:rsidR="007A1E00" w:rsidRPr="0098602B">
              <w:t xml:space="preserve"> are legally the responsibility of the Leader (executive) or Council (non-executive).</w:t>
            </w:r>
          </w:p>
          <w:p w14:paraId="2E8755E7" w14:textId="4CCD7D1A" w:rsidR="004F5E2B" w:rsidRPr="0098602B" w:rsidRDefault="004F5E2B" w:rsidP="00F23B9C"/>
        </w:tc>
        <w:tc>
          <w:tcPr>
            <w:tcW w:w="1277" w:type="dxa"/>
            <w:shd w:val="clear" w:color="auto" w:fill="FFFFFF" w:themeFill="background1"/>
          </w:tcPr>
          <w:p w14:paraId="06A63C88" w14:textId="6DCFB6A6" w:rsidR="00B6328F" w:rsidRPr="0098602B" w:rsidRDefault="00930EBC" w:rsidP="00B6328F">
            <w:pPr>
              <w:spacing w:before="120"/>
            </w:pPr>
            <w:r w:rsidRPr="0098602B">
              <w:t>3.8</w:t>
            </w:r>
          </w:p>
        </w:tc>
        <w:tc>
          <w:tcPr>
            <w:tcW w:w="6237" w:type="dxa"/>
            <w:shd w:val="clear" w:color="auto" w:fill="FFFFFF" w:themeFill="background1"/>
          </w:tcPr>
          <w:p w14:paraId="5D3AD69E" w14:textId="77777777" w:rsidR="00930EBC" w:rsidRPr="0098602B" w:rsidRDefault="00930EBC" w:rsidP="004D4870">
            <w:pPr>
              <w:spacing w:before="120"/>
              <w:rPr>
                <w:b/>
                <w:u w:val="single"/>
              </w:rPr>
            </w:pPr>
            <w:r w:rsidRPr="0098602B">
              <w:rPr>
                <w:b/>
                <w:u w:val="single"/>
              </w:rPr>
              <w:t>Joint arrangements</w:t>
            </w:r>
          </w:p>
          <w:p w14:paraId="35485559" w14:textId="77777777" w:rsidR="00930EBC" w:rsidRPr="0098602B" w:rsidRDefault="00930EBC" w:rsidP="004D4870">
            <w:pPr>
              <w:spacing w:before="120"/>
              <w:rPr>
                <w:u w:val="single"/>
              </w:rPr>
            </w:pPr>
            <w:r w:rsidRPr="0098602B">
              <w:rPr>
                <w:u w:val="single"/>
              </w:rPr>
              <w:t xml:space="preserve">Council may establish joint arrangements with one or more local authorities to exercise functions that are not executive functions in any of the participating authorities. Such arrangements may involve the appointment of a joint committee with these other local authorities and the delegation of functions to the joint committee. </w:t>
            </w:r>
          </w:p>
          <w:p w14:paraId="7D56E142" w14:textId="77777777" w:rsidR="00930EBC" w:rsidRPr="0098602B" w:rsidRDefault="00930EBC" w:rsidP="004D4870">
            <w:pPr>
              <w:spacing w:before="120"/>
              <w:rPr>
                <w:u w:val="single"/>
              </w:rPr>
            </w:pPr>
          </w:p>
          <w:p w14:paraId="0F07EC9C" w14:textId="69E4B4A4" w:rsidR="00B6328F" w:rsidRPr="0098602B" w:rsidRDefault="00E45C67" w:rsidP="004D4870">
            <w:pPr>
              <w:rPr>
                <w:b/>
              </w:rPr>
            </w:pPr>
            <w:r w:rsidRPr="0098602B">
              <w:rPr>
                <w:u w:val="single"/>
              </w:rPr>
              <w:t xml:space="preserve">The Leader </w:t>
            </w:r>
            <w:r w:rsidR="00930EBC" w:rsidRPr="0098602B">
              <w:rPr>
                <w:u w:val="single"/>
              </w:rPr>
              <w:t>may establish joint arrangements with one or more local authorities to exercise functions which are executive functions. Such arrangements may involve the appointment of joint committees with these other local authorities and the delegation of functions to the joint committee.</w:t>
            </w:r>
          </w:p>
          <w:p w14:paraId="49B54B86" w14:textId="77777777" w:rsidR="00B6328F" w:rsidRPr="0098602B" w:rsidRDefault="00B6328F" w:rsidP="004D4870">
            <w:pPr>
              <w:spacing w:before="120"/>
              <w:rPr>
                <w:b/>
              </w:rPr>
            </w:pPr>
          </w:p>
        </w:tc>
      </w:tr>
      <w:tr w:rsidR="0098602B" w:rsidRPr="0098602B" w14:paraId="02955103" w14:textId="77777777" w:rsidTr="00F3216D">
        <w:trPr>
          <w:trHeight w:val="575"/>
        </w:trPr>
        <w:tc>
          <w:tcPr>
            <w:tcW w:w="1162" w:type="dxa"/>
            <w:shd w:val="clear" w:color="auto" w:fill="FFFFFF" w:themeFill="background1"/>
            <w:vAlign w:val="center"/>
          </w:tcPr>
          <w:p w14:paraId="08F10F0F" w14:textId="77777777" w:rsidR="00E87BD8" w:rsidRPr="0098602B" w:rsidRDefault="00E87BD8" w:rsidP="00CD06DC">
            <w:pPr>
              <w:jc w:val="center"/>
              <w:rPr>
                <w:b/>
              </w:rPr>
            </w:pPr>
          </w:p>
        </w:tc>
        <w:tc>
          <w:tcPr>
            <w:tcW w:w="6521" w:type="dxa"/>
            <w:tcBorders>
              <w:bottom w:val="single" w:sz="4" w:space="0" w:color="auto"/>
            </w:tcBorders>
            <w:shd w:val="clear" w:color="auto" w:fill="FFFFFF" w:themeFill="background1"/>
          </w:tcPr>
          <w:p w14:paraId="736B46AD" w14:textId="2D70AF7A" w:rsidR="00E87BD8" w:rsidRPr="0098602B" w:rsidRDefault="00E87BD8" w:rsidP="004D4870">
            <w:pPr>
              <w:spacing w:before="120"/>
            </w:pPr>
            <w:r w:rsidRPr="0098602B">
              <w:t>To make provision</w:t>
            </w:r>
            <w:r w:rsidR="004E4F68" w:rsidRPr="0098602B">
              <w:t xml:space="preserve"> in the Constitution</w:t>
            </w:r>
            <w:r w:rsidRPr="0098602B">
              <w:t xml:space="preserve"> for the </w:t>
            </w:r>
            <w:r w:rsidR="005B71C5" w:rsidRPr="0098602B">
              <w:t xml:space="preserve">Council </w:t>
            </w:r>
            <w:r w:rsidRPr="0098602B">
              <w:t xml:space="preserve">to </w:t>
            </w:r>
            <w:r w:rsidR="000721E8" w:rsidRPr="0098602B">
              <w:t xml:space="preserve">delegate to or accept delegation from </w:t>
            </w:r>
            <w:r w:rsidRPr="0098602B">
              <w:t>other local authorities if required</w:t>
            </w:r>
            <w:r w:rsidR="00017189" w:rsidRPr="0098602B">
              <w:t xml:space="preserve"> and to clarify the responsibility for any such delegations</w:t>
            </w:r>
            <w:r w:rsidR="005E3549" w:rsidRPr="0098602B">
              <w:t>.</w:t>
            </w:r>
          </w:p>
          <w:p w14:paraId="7583411F" w14:textId="77777777" w:rsidR="00E87BD8" w:rsidRPr="0098602B" w:rsidRDefault="00E87BD8" w:rsidP="004D4870">
            <w:pPr>
              <w:spacing w:before="120"/>
            </w:pPr>
          </w:p>
          <w:p w14:paraId="6C698B29" w14:textId="6226D333" w:rsidR="004F5E2B" w:rsidRPr="0098602B" w:rsidRDefault="00E87BD8" w:rsidP="004D4870">
            <w:pPr>
              <w:spacing w:before="120"/>
            </w:pPr>
            <w:r w:rsidRPr="0098602B">
              <w:rPr>
                <w:b/>
              </w:rPr>
              <w:t>Rationale:</w:t>
            </w:r>
            <w:r w:rsidR="004B6ED8" w:rsidRPr="0098602B">
              <w:rPr>
                <w:b/>
              </w:rPr>
              <w:t xml:space="preserve"> </w:t>
            </w:r>
            <w:r w:rsidR="004E4F68" w:rsidRPr="0098602B">
              <w:t>The Council has the ability under the Local Government Act 1972 (as amended) to arrange for its functions to be undertaken by another local authority</w:t>
            </w:r>
            <w:r w:rsidR="00017189" w:rsidRPr="0098602B">
              <w:t xml:space="preserve"> by agreement. Equally other local authorities </w:t>
            </w:r>
            <w:r w:rsidR="00017189" w:rsidRPr="0098602B">
              <w:lastRenderedPageBreak/>
              <w:t xml:space="preserve">have the ability to delegate functions to the Council, as Oxfordshire County Council has recently done with Covid-19 enforcement powers. Provisions for making and accepting such delegations </w:t>
            </w:r>
            <w:r w:rsidR="00600126" w:rsidRPr="0098602B">
              <w:t>are not currently included in</w:t>
            </w:r>
            <w:r w:rsidR="00017189" w:rsidRPr="0098602B">
              <w:t xml:space="preserve"> the Constitution.</w:t>
            </w:r>
          </w:p>
          <w:p w14:paraId="22DB5FEF" w14:textId="46A2F00C" w:rsidR="004F5E2B" w:rsidRPr="0098602B" w:rsidRDefault="004F5E2B" w:rsidP="00F23B9C">
            <w:pPr>
              <w:spacing w:before="120"/>
            </w:pPr>
          </w:p>
        </w:tc>
        <w:tc>
          <w:tcPr>
            <w:tcW w:w="1277" w:type="dxa"/>
            <w:tcBorders>
              <w:bottom w:val="single" w:sz="4" w:space="0" w:color="auto"/>
            </w:tcBorders>
            <w:shd w:val="clear" w:color="auto" w:fill="FFFFFF" w:themeFill="background1"/>
          </w:tcPr>
          <w:p w14:paraId="54FC111D" w14:textId="0229C3E0" w:rsidR="00E87BD8" w:rsidRPr="0098602B" w:rsidRDefault="00E87BD8" w:rsidP="00B6328F">
            <w:pPr>
              <w:spacing w:before="120"/>
            </w:pPr>
            <w:r w:rsidRPr="0098602B">
              <w:lastRenderedPageBreak/>
              <w:t>3.9</w:t>
            </w:r>
          </w:p>
        </w:tc>
        <w:tc>
          <w:tcPr>
            <w:tcW w:w="6237" w:type="dxa"/>
            <w:tcBorders>
              <w:bottom w:val="single" w:sz="4" w:space="0" w:color="auto"/>
            </w:tcBorders>
            <w:shd w:val="clear" w:color="auto" w:fill="FFFFFF" w:themeFill="background1"/>
          </w:tcPr>
          <w:p w14:paraId="70CF502A" w14:textId="77777777" w:rsidR="00E87BD8" w:rsidRPr="0098602B" w:rsidRDefault="00E87BD8" w:rsidP="004D4870">
            <w:pPr>
              <w:spacing w:before="120"/>
              <w:rPr>
                <w:b/>
                <w:u w:val="single"/>
              </w:rPr>
            </w:pPr>
            <w:r w:rsidRPr="0098602B">
              <w:rPr>
                <w:b/>
                <w:u w:val="single"/>
              </w:rPr>
              <w:t>Delegation to and from other local authorities</w:t>
            </w:r>
          </w:p>
          <w:p w14:paraId="5C4348E0" w14:textId="6B7E5DE3" w:rsidR="00E87BD8" w:rsidRPr="0098602B" w:rsidRDefault="00E87BD8" w:rsidP="004D4870">
            <w:pPr>
              <w:spacing w:before="120"/>
              <w:rPr>
                <w:u w:val="single"/>
              </w:rPr>
            </w:pPr>
            <w:r w:rsidRPr="0098602B">
              <w:rPr>
                <w:u w:val="single"/>
              </w:rPr>
              <w:t>(a) Council may delegate non-executive functions to another local authority or, in certain circumstances</w:t>
            </w:r>
            <w:r w:rsidR="00E45C67" w:rsidRPr="0098602B">
              <w:rPr>
                <w:u w:val="single"/>
              </w:rPr>
              <w:t xml:space="preserve"> where these are local choice responsibilities</w:t>
            </w:r>
            <w:r w:rsidRPr="0098602B">
              <w:rPr>
                <w:u w:val="single"/>
              </w:rPr>
              <w:t>, the executive of another local authority.</w:t>
            </w:r>
          </w:p>
          <w:p w14:paraId="3813C582" w14:textId="43C482F5" w:rsidR="00E87BD8" w:rsidRPr="0098602B" w:rsidRDefault="00E87BD8" w:rsidP="004D4870">
            <w:pPr>
              <w:spacing w:before="120"/>
              <w:rPr>
                <w:u w:val="single"/>
              </w:rPr>
            </w:pPr>
            <w:r w:rsidRPr="0098602B">
              <w:rPr>
                <w:u w:val="single"/>
              </w:rPr>
              <w:t xml:space="preserve">(b) The </w:t>
            </w:r>
            <w:r w:rsidR="00E45C67" w:rsidRPr="0098602B">
              <w:rPr>
                <w:u w:val="single"/>
              </w:rPr>
              <w:t xml:space="preserve">Leader </w:t>
            </w:r>
            <w:r w:rsidRPr="0098602B">
              <w:rPr>
                <w:u w:val="single"/>
              </w:rPr>
              <w:t xml:space="preserve">may delegate executive functions to the executive of another local authority </w:t>
            </w:r>
            <w:r w:rsidR="00E45C67" w:rsidRPr="0098602B">
              <w:rPr>
                <w:u w:val="single"/>
              </w:rPr>
              <w:t xml:space="preserve">or, </w:t>
            </w:r>
            <w:r w:rsidRPr="0098602B">
              <w:rPr>
                <w:u w:val="single"/>
              </w:rPr>
              <w:t>in certain circumstances</w:t>
            </w:r>
            <w:r w:rsidR="00E45C67" w:rsidRPr="0098602B">
              <w:rPr>
                <w:u w:val="single"/>
              </w:rPr>
              <w:t xml:space="preserve"> where these are local choice responsibilities, another local authority</w:t>
            </w:r>
            <w:r w:rsidRPr="0098602B">
              <w:rPr>
                <w:u w:val="single"/>
              </w:rPr>
              <w:t>.</w:t>
            </w:r>
          </w:p>
          <w:p w14:paraId="4E1746B4" w14:textId="77777777" w:rsidR="00E87BD8" w:rsidRPr="0098602B" w:rsidRDefault="00E87BD8" w:rsidP="004D4870">
            <w:pPr>
              <w:spacing w:before="120"/>
              <w:rPr>
                <w:u w:val="single"/>
              </w:rPr>
            </w:pPr>
            <w:r w:rsidRPr="0098602B">
              <w:rPr>
                <w:u w:val="single"/>
              </w:rPr>
              <w:lastRenderedPageBreak/>
              <w:t>(c) The decision to accept a delegation</w:t>
            </w:r>
            <w:r w:rsidR="00E45C67" w:rsidRPr="0098602B">
              <w:rPr>
                <w:u w:val="single"/>
              </w:rPr>
              <w:t xml:space="preserve"> of executive responsibilities</w:t>
            </w:r>
            <w:r w:rsidRPr="0098602B">
              <w:rPr>
                <w:u w:val="single"/>
              </w:rPr>
              <w:t xml:space="preserve"> from</w:t>
            </w:r>
            <w:r w:rsidR="00E45C67" w:rsidRPr="0098602B">
              <w:rPr>
                <w:u w:val="single"/>
              </w:rPr>
              <w:t xml:space="preserve"> </w:t>
            </w:r>
            <w:r w:rsidRPr="0098602B">
              <w:rPr>
                <w:u w:val="single"/>
              </w:rPr>
              <w:t>another local authority shall be reserved to Cabinet.</w:t>
            </w:r>
          </w:p>
          <w:p w14:paraId="652975B3" w14:textId="37F9517C" w:rsidR="000F0941" w:rsidRPr="0098602B" w:rsidRDefault="000F0941" w:rsidP="004D4870">
            <w:pPr>
              <w:spacing w:before="120"/>
              <w:rPr>
                <w:b/>
                <w:u w:val="single"/>
              </w:rPr>
            </w:pPr>
          </w:p>
        </w:tc>
      </w:tr>
      <w:tr w:rsidR="0098602B" w:rsidRPr="0098602B" w14:paraId="18805621" w14:textId="7297F5F7" w:rsidTr="00F3216D">
        <w:trPr>
          <w:trHeight w:val="575"/>
        </w:trPr>
        <w:tc>
          <w:tcPr>
            <w:tcW w:w="1162" w:type="dxa"/>
            <w:shd w:val="clear" w:color="auto" w:fill="F2F2F2"/>
            <w:vAlign w:val="center"/>
          </w:tcPr>
          <w:p w14:paraId="07C6510F" w14:textId="3043DA49" w:rsidR="00B6328F" w:rsidRPr="0098602B" w:rsidRDefault="00B6328F" w:rsidP="00CD06DC">
            <w:pPr>
              <w:jc w:val="center"/>
              <w:rPr>
                <w:b/>
              </w:rPr>
            </w:pPr>
            <w:r w:rsidRPr="0098602B">
              <w:rPr>
                <w:b/>
              </w:rPr>
              <w:lastRenderedPageBreak/>
              <w:t>Part 4</w:t>
            </w:r>
          </w:p>
        </w:tc>
        <w:tc>
          <w:tcPr>
            <w:tcW w:w="6521" w:type="dxa"/>
            <w:tcBorders>
              <w:right w:val="nil"/>
            </w:tcBorders>
            <w:shd w:val="clear" w:color="auto" w:fill="F2F2F2"/>
          </w:tcPr>
          <w:p w14:paraId="5E204EEA" w14:textId="6B7BC74D" w:rsidR="00B6328F" w:rsidRPr="0098602B" w:rsidRDefault="00B6328F" w:rsidP="004D4870">
            <w:pPr>
              <w:spacing w:before="120"/>
              <w:rPr>
                <w:b/>
              </w:rPr>
            </w:pPr>
            <w:r w:rsidRPr="0098602B">
              <w:rPr>
                <w:b/>
              </w:rPr>
              <w:t>Who carries out Executive responsibilities?</w:t>
            </w:r>
          </w:p>
        </w:tc>
        <w:tc>
          <w:tcPr>
            <w:tcW w:w="7514" w:type="dxa"/>
            <w:gridSpan w:val="2"/>
            <w:tcBorders>
              <w:left w:val="nil"/>
            </w:tcBorders>
            <w:shd w:val="clear" w:color="auto" w:fill="F2F2F2"/>
          </w:tcPr>
          <w:p w14:paraId="4AC3E7A3" w14:textId="77777777" w:rsidR="00B6328F" w:rsidRPr="0098602B" w:rsidRDefault="00B6328F" w:rsidP="004D4870">
            <w:pPr>
              <w:spacing w:before="120"/>
              <w:rPr>
                <w:b/>
              </w:rPr>
            </w:pPr>
          </w:p>
        </w:tc>
      </w:tr>
      <w:tr w:rsidR="0098602B" w:rsidRPr="0098602B" w14:paraId="1853964C" w14:textId="77777777" w:rsidTr="00F3216D">
        <w:trPr>
          <w:trHeight w:val="575"/>
        </w:trPr>
        <w:tc>
          <w:tcPr>
            <w:tcW w:w="1162" w:type="dxa"/>
            <w:shd w:val="clear" w:color="auto" w:fill="auto"/>
            <w:vAlign w:val="center"/>
          </w:tcPr>
          <w:p w14:paraId="46E7E60D" w14:textId="3646215D" w:rsidR="00C36400" w:rsidRPr="0098602B" w:rsidRDefault="00C36400" w:rsidP="00C36400">
            <w:pPr>
              <w:jc w:val="center"/>
            </w:pPr>
          </w:p>
        </w:tc>
        <w:tc>
          <w:tcPr>
            <w:tcW w:w="6521" w:type="dxa"/>
            <w:shd w:val="clear" w:color="auto" w:fill="auto"/>
          </w:tcPr>
          <w:p w14:paraId="49715983" w14:textId="30C92363" w:rsidR="00C36400" w:rsidRPr="0098602B" w:rsidRDefault="00C36400" w:rsidP="004D4870">
            <w:pPr>
              <w:spacing w:before="120"/>
            </w:pPr>
            <w:r w:rsidRPr="0098602B">
              <w:t>Delegations to single Cabinet members</w:t>
            </w:r>
            <w:r w:rsidR="00F92BD2" w:rsidRPr="0098602B">
              <w:t xml:space="preserve"> and parameters</w:t>
            </w:r>
            <w:r w:rsidR="004D1819" w:rsidRPr="0098602B">
              <w:t>/conditions for the delegations.</w:t>
            </w:r>
          </w:p>
          <w:p w14:paraId="1C83D9CC" w14:textId="77777777" w:rsidR="00C36400" w:rsidRPr="0098602B" w:rsidRDefault="00C36400" w:rsidP="004D4870">
            <w:pPr>
              <w:spacing w:before="120"/>
            </w:pPr>
          </w:p>
          <w:p w14:paraId="35EDF05A" w14:textId="2D216906" w:rsidR="00C36400" w:rsidRPr="0098602B" w:rsidRDefault="00C36400" w:rsidP="004D4870">
            <w:pPr>
              <w:spacing w:before="120"/>
            </w:pPr>
            <w:r w:rsidRPr="0098602B">
              <w:rPr>
                <w:b/>
              </w:rPr>
              <w:t>Rationale:</w:t>
            </w:r>
            <w:r w:rsidR="00091EBB" w:rsidRPr="0098602B">
              <w:rPr>
                <w:b/>
              </w:rPr>
              <w:t xml:space="preserve"> </w:t>
            </w:r>
            <w:r w:rsidR="00F92BD2" w:rsidRPr="0098602B">
              <w:t xml:space="preserve">To </w:t>
            </w:r>
            <w:r w:rsidR="005E3549" w:rsidRPr="0098602B">
              <w:t>include arrangements for single Cabinet Member decisions</w:t>
            </w:r>
            <w:r w:rsidR="00417CCA" w:rsidRPr="0098602B">
              <w:t xml:space="preserve"> within the Constitution</w:t>
            </w:r>
            <w:r w:rsidR="00600126" w:rsidRPr="0098602B">
              <w:t xml:space="preserve">. This is an option for </w:t>
            </w:r>
            <w:r w:rsidR="00417CCA" w:rsidRPr="0098602B">
              <w:t>executive decision</w:t>
            </w:r>
            <w:r w:rsidR="00600126" w:rsidRPr="0098602B">
              <w:t xml:space="preserve"> making that is legally open to the Council but has not been preferred</w:t>
            </w:r>
            <w:r w:rsidR="00417CCA" w:rsidRPr="0098602B">
              <w:t>, with executive decisions being taken by Cabinet or officers instead.</w:t>
            </w:r>
            <w:r w:rsidR="00600126" w:rsidRPr="0098602B">
              <w:t xml:space="preserve"> </w:t>
            </w:r>
            <w:r w:rsidR="00417CCA" w:rsidRPr="0098602B">
              <w:t>P</w:t>
            </w:r>
            <w:r w:rsidR="00600126" w:rsidRPr="0098602B">
              <w:t xml:space="preserve">rovisions </w:t>
            </w:r>
            <w:r w:rsidR="00417CCA" w:rsidRPr="0098602B">
              <w:t xml:space="preserve">for single Cabinet Member decisions </w:t>
            </w:r>
            <w:r w:rsidR="00600126" w:rsidRPr="0098602B">
              <w:t xml:space="preserve">are </w:t>
            </w:r>
            <w:r w:rsidR="00417CCA" w:rsidRPr="0098602B">
              <w:t xml:space="preserve">not </w:t>
            </w:r>
            <w:r w:rsidR="00600126" w:rsidRPr="0098602B">
              <w:t>currently included in the Constitution</w:t>
            </w:r>
            <w:r w:rsidR="00417CCA" w:rsidRPr="0098602B">
              <w:t>. This proposal</w:t>
            </w:r>
            <w:r w:rsidR="00BE46A9" w:rsidRPr="0098602B">
              <w:t xml:space="preserve"> </w:t>
            </w:r>
            <w:r w:rsidR="00417CCA" w:rsidRPr="0098602B">
              <w:t xml:space="preserve">follows </w:t>
            </w:r>
            <w:r w:rsidR="00F92BD2" w:rsidRPr="0098602B">
              <w:t xml:space="preserve">a decision of the Leader </w:t>
            </w:r>
            <w:r w:rsidR="00911F9F" w:rsidRPr="0098602B">
              <w:t xml:space="preserve">(noted at the Cabinet meeting on 19 December 2019) </w:t>
            </w:r>
            <w:r w:rsidR="005E3549" w:rsidRPr="0098602B">
              <w:t xml:space="preserve">to delegate </w:t>
            </w:r>
            <w:r w:rsidR="00BE46A9" w:rsidRPr="0098602B">
              <w:t xml:space="preserve">authority for </w:t>
            </w:r>
            <w:r w:rsidR="005E3549" w:rsidRPr="0098602B">
              <w:t xml:space="preserve">decisions </w:t>
            </w:r>
            <w:r w:rsidR="00BE46A9" w:rsidRPr="0098602B">
              <w:t xml:space="preserve">in relation to individual property transactions as part of the Property Investment Strategy </w:t>
            </w:r>
            <w:r w:rsidR="005E3549" w:rsidRPr="0098602B">
              <w:t xml:space="preserve">to </w:t>
            </w:r>
            <w:r w:rsidR="0042283F" w:rsidRPr="0098602B">
              <w:t>a single Cabinet Member</w:t>
            </w:r>
            <w:r w:rsidR="005E3549" w:rsidRPr="0098602B">
              <w:t>.</w:t>
            </w:r>
            <w:r w:rsidR="00417CCA" w:rsidRPr="0098602B">
              <w:t xml:space="preserve"> The proposal sets out the arrangements for any such decisions, including the need for a written report to be provided to the Cabinet Member.</w:t>
            </w:r>
          </w:p>
          <w:p w14:paraId="68F17664" w14:textId="77777777" w:rsidR="004F5E2B" w:rsidRPr="0098602B" w:rsidRDefault="004F5E2B" w:rsidP="004D4870">
            <w:pPr>
              <w:spacing w:before="120"/>
            </w:pPr>
          </w:p>
          <w:p w14:paraId="09472D79" w14:textId="21CFBA2C" w:rsidR="00A27228" w:rsidRPr="0098602B" w:rsidRDefault="00A27228" w:rsidP="00F23B9C"/>
        </w:tc>
        <w:tc>
          <w:tcPr>
            <w:tcW w:w="1277" w:type="dxa"/>
            <w:shd w:val="clear" w:color="auto" w:fill="auto"/>
          </w:tcPr>
          <w:p w14:paraId="602820BB" w14:textId="77777777" w:rsidR="00C36400" w:rsidRDefault="00262FC2" w:rsidP="002C0BD8">
            <w:pPr>
              <w:spacing w:before="120"/>
            </w:pPr>
            <w:r w:rsidRPr="0098602B">
              <w:t>4.6</w:t>
            </w:r>
          </w:p>
          <w:p w14:paraId="7E7CA23C" w14:textId="77777777" w:rsidR="00EA6EB5" w:rsidRDefault="00EA6EB5" w:rsidP="002C0BD8">
            <w:pPr>
              <w:spacing w:before="120"/>
            </w:pPr>
          </w:p>
          <w:p w14:paraId="6E836718" w14:textId="5726BFBD" w:rsidR="00EA6EB5" w:rsidRPr="0098602B" w:rsidRDefault="00EA6EB5" w:rsidP="002C0BD8">
            <w:pPr>
              <w:spacing w:before="120"/>
            </w:pPr>
            <w:r>
              <w:t>(previous 4.6 to 4.9 renumbered)</w:t>
            </w:r>
          </w:p>
        </w:tc>
        <w:tc>
          <w:tcPr>
            <w:tcW w:w="6237" w:type="dxa"/>
            <w:shd w:val="clear" w:color="auto" w:fill="auto"/>
          </w:tcPr>
          <w:p w14:paraId="2FE0C357" w14:textId="77777777" w:rsidR="002E2900" w:rsidRPr="0098602B" w:rsidRDefault="002E2900" w:rsidP="004D4870">
            <w:pPr>
              <w:spacing w:before="120"/>
              <w:rPr>
                <w:b/>
                <w:u w:val="single"/>
              </w:rPr>
            </w:pPr>
            <w:r w:rsidRPr="0098602B">
              <w:rPr>
                <w:b/>
                <w:u w:val="single"/>
              </w:rPr>
              <w:t>Delegation to single Cabinet Members</w:t>
            </w:r>
          </w:p>
          <w:p w14:paraId="5CB29D12" w14:textId="6743063A" w:rsidR="002E2900" w:rsidRPr="0098602B" w:rsidRDefault="002E2900" w:rsidP="004D4870">
            <w:pPr>
              <w:spacing w:before="120"/>
              <w:rPr>
                <w:u w:val="single"/>
              </w:rPr>
            </w:pPr>
            <w:r w:rsidRPr="0098602B">
              <w:rPr>
                <w:u w:val="single"/>
              </w:rPr>
              <w:t xml:space="preserve">The Leader may delegate </w:t>
            </w:r>
            <w:r w:rsidR="006E19E4" w:rsidRPr="0098602B">
              <w:rPr>
                <w:u w:val="single"/>
              </w:rPr>
              <w:t xml:space="preserve">executive </w:t>
            </w:r>
            <w:r w:rsidRPr="0098602B">
              <w:rPr>
                <w:u w:val="single"/>
              </w:rPr>
              <w:t xml:space="preserve">responsibilities to a single Cabinet Member with or without consultation with officers or other Cabinet Members. </w:t>
            </w:r>
          </w:p>
          <w:p w14:paraId="4B40ABC8" w14:textId="2E27CD56" w:rsidR="002E2900" w:rsidRPr="0098602B" w:rsidRDefault="002E2900" w:rsidP="004D4870">
            <w:pPr>
              <w:spacing w:before="120"/>
              <w:rPr>
                <w:u w:val="single"/>
              </w:rPr>
            </w:pPr>
            <w:r w:rsidRPr="0098602B">
              <w:rPr>
                <w:u w:val="single"/>
              </w:rPr>
              <w:t>Cabinet Member</w:t>
            </w:r>
            <w:r w:rsidR="00F37F06" w:rsidRPr="0098602B">
              <w:rPr>
                <w:u w:val="single"/>
              </w:rPr>
              <w:t>s</w:t>
            </w:r>
            <w:r w:rsidRPr="0098602B">
              <w:rPr>
                <w:u w:val="single"/>
              </w:rPr>
              <w:t xml:space="preserve"> do not have to use the delegated powers: they can ask the Leader to decide. The delegation can also be withdrawn by the Leader. </w:t>
            </w:r>
          </w:p>
          <w:p w14:paraId="0A36B27A" w14:textId="77777777" w:rsidR="00EE5307" w:rsidRPr="0098602B" w:rsidRDefault="002E2900" w:rsidP="004D4870">
            <w:pPr>
              <w:spacing w:before="120"/>
              <w:rPr>
                <w:u w:val="single"/>
              </w:rPr>
            </w:pPr>
            <w:r w:rsidRPr="0098602B">
              <w:rPr>
                <w:u w:val="single"/>
              </w:rPr>
              <w:t xml:space="preserve">Any decisions delegated to a single Cabinet Member shall only be taken having regard to a written report submitted to them by the relevant officer within the senior management structure including any advice from the Head of Financial Services and the Head of Law and Governance. </w:t>
            </w:r>
          </w:p>
          <w:p w14:paraId="0B0AF53F" w14:textId="55F39C50" w:rsidR="002E2900" w:rsidRPr="0098602B" w:rsidRDefault="00EE5307" w:rsidP="004D4870">
            <w:pPr>
              <w:spacing w:before="120"/>
              <w:rPr>
                <w:u w:val="single"/>
              </w:rPr>
            </w:pPr>
            <w:r w:rsidRPr="0098602B">
              <w:rPr>
                <w:u w:val="single"/>
              </w:rPr>
              <w:t xml:space="preserve">If a Cabinet Member </w:t>
            </w:r>
            <w:r w:rsidR="00F828AE" w:rsidRPr="0098602B">
              <w:rPr>
                <w:u w:val="single"/>
              </w:rPr>
              <w:t xml:space="preserve">with delegated powers </w:t>
            </w:r>
            <w:r w:rsidRPr="0098602B">
              <w:rPr>
                <w:u w:val="single"/>
              </w:rPr>
              <w:t>has a d</w:t>
            </w:r>
            <w:r w:rsidR="006E19E4" w:rsidRPr="0098602B">
              <w:rPr>
                <w:u w:val="single"/>
              </w:rPr>
              <w:t xml:space="preserve">isclosable </w:t>
            </w:r>
            <w:r w:rsidRPr="0098602B">
              <w:rPr>
                <w:u w:val="single"/>
              </w:rPr>
              <w:t>p</w:t>
            </w:r>
            <w:r w:rsidR="006E19E4" w:rsidRPr="0098602B">
              <w:rPr>
                <w:u w:val="single"/>
              </w:rPr>
              <w:t>e</w:t>
            </w:r>
            <w:r w:rsidRPr="0098602B">
              <w:rPr>
                <w:u w:val="single"/>
              </w:rPr>
              <w:t>cuniary i</w:t>
            </w:r>
            <w:r w:rsidR="006E19E4" w:rsidRPr="0098602B">
              <w:rPr>
                <w:u w:val="single"/>
              </w:rPr>
              <w:t>nterest</w:t>
            </w:r>
            <w:r w:rsidRPr="0098602B">
              <w:rPr>
                <w:u w:val="single"/>
              </w:rPr>
              <w:t xml:space="preserve"> in a </w:t>
            </w:r>
            <w:r w:rsidR="00F828AE" w:rsidRPr="0098602B">
              <w:rPr>
                <w:u w:val="single"/>
              </w:rPr>
              <w:t xml:space="preserve">matter for </w:t>
            </w:r>
            <w:r w:rsidRPr="0098602B">
              <w:rPr>
                <w:u w:val="single"/>
              </w:rPr>
              <w:t xml:space="preserve">decision </w:t>
            </w:r>
            <w:r w:rsidR="006747B7" w:rsidRPr="0098602B">
              <w:rPr>
                <w:u w:val="single"/>
              </w:rPr>
              <w:t>the Cabinet Member</w:t>
            </w:r>
            <w:r w:rsidRPr="0098602B">
              <w:rPr>
                <w:u w:val="single"/>
              </w:rPr>
              <w:t xml:space="preserve"> must declare th</w:t>
            </w:r>
            <w:r w:rsidR="00F828AE" w:rsidRPr="0098602B">
              <w:rPr>
                <w:u w:val="single"/>
              </w:rPr>
              <w:t>e interest</w:t>
            </w:r>
            <w:r w:rsidRPr="0098602B">
              <w:rPr>
                <w:u w:val="single"/>
              </w:rPr>
              <w:t xml:space="preserve"> </w:t>
            </w:r>
            <w:r w:rsidR="00A632A8" w:rsidRPr="0098602B">
              <w:rPr>
                <w:u w:val="single"/>
              </w:rPr>
              <w:t>as required by the Members’ Code of Conduct</w:t>
            </w:r>
            <w:r w:rsidR="00287AD5" w:rsidRPr="0098602B">
              <w:rPr>
                <w:u w:val="single"/>
              </w:rPr>
              <w:t xml:space="preserve"> and not exercise the delegated function</w:t>
            </w:r>
            <w:r w:rsidR="006747B7" w:rsidRPr="0098602B">
              <w:rPr>
                <w:u w:val="single"/>
              </w:rPr>
              <w:t xml:space="preserve">. The delegated function will instead be </w:t>
            </w:r>
            <w:r w:rsidR="00262FC2" w:rsidRPr="0098602B">
              <w:rPr>
                <w:u w:val="single"/>
              </w:rPr>
              <w:t xml:space="preserve">exercised by the </w:t>
            </w:r>
            <w:r w:rsidR="00F828AE" w:rsidRPr="0098602B">
              <w:rPr>
                <w:u w:val="single"/>
              </w:rPr>
              <w:t xml:space="preserve">Leader </w:t>
            </w:r>
            <w:r w:rsidR="00262FC2" w:rsidRPr="0098602B">
              <w:rPr>
                <w:u w:val="single"/>
              </w:rPr>
              <w:t>or another</w:t>
            </w:r>
            <w:r w:rsidR="00F828AE" w:rsidRPr="0098602B">
              <w:rPr>
                <w:u w:val="single"/>
              </w:rPr>
              <w:t xml:space="preserve"> Cabinet Member</w:t>
            </w:r>
            <w:r w:rsidR="00262FC2" w:rsidRPr="0098602B">
              <w:rPr>
                <w:u w:val="single"/>
              </w:rPr>
              <w:t xml:space="preserve"> authorised by the Leader</w:t>
            </w:r>
            <w:r w:rsidR="00F828AE" w:rsidRPr="0098602B">
              <w:rPr>
                <w:u w:val="single"/>
              </w:rPr>
              <w:t>.</w:t>
            </w:r>
          </w:p>
          <w:p w14:paraId="3E6F2058" w14:textId="77777777" w:rsidR="002E2900" w:rsidRPr="0098602B" w:rsidRDefault="002E2900" w:rsidP="004D4870">
            <w:pPr>
              <w:spacing w:before="120"/>
              <w:rPr>
                <w:u w:val="single"/>
              </w:rPr>
            </w:pPr>
            <w:r w:rsidRPr="0098602B">
              <w:rPr>
                <w:u w:val="single"/>
              </w:rPr>
              <w:t>Key decision procedures and call in procedures will apply to any key decisions delegated to a single Cabinet Member.</w:t>
            </w:r>
          </w:p>
          <w:p w14:paraId="559CD434" w14:textId="77777777" w:rsidR="00C36400" w:rsidRPr="0098602B" w:rsidRDefault="002E2900" w:rsidP="004D4870">
            <w:pPr>
              <w:spacing w:before="120"/>
              <w:rPr>
                <w:u w:val="single"/>
              </w:rPr>
            </w:pPr>
            <w:r w:rsidRPr="0098602B">
              <w:rPr>
                <w:u w:val="single"/>
              </w:rPr>
              <w:t>Once a Cabinet Member has taken a delegated decision, the Council will produce a record of the decision.</w:t>
            </w:r>
          </w:p>
          <w:p w14:paraId="03275E26" w14:textId="48389B1F" w:rsidR="00B92D74" w:rsidRPr="0098602B" w:rsidRDefault="00B92D74" w:rsidP="004D4870">
            <w:pPr>
              <w:spacing w:before="120"/>
              <w:rPr>
                <w:u w:val="single"/>
              </w:rPr>
            </w:pPr>
          </w:p>
        </w:tc>
      </w:tr>
      <w:tr w:rsidR="0098602B" w:rsidRPr="0098602B" w14:paraId="293BBA1D" w14:textId="77777777" w:rsidTr="00F3216D">
        <w:trPr>
          <w:trHeight w:val="575"/>
        </w:trPr>
        <w:tc>
          <w:tcPr>
            <w:tcW w:w="1162" w:type="dxa"/>
            <w:shd w:val="clear" w:color="auto" w:fill="F2F2F2"/>
            <w:vAlign w:val="center"/>
          </w:tcPr>
          <w:p w14:paraId="59B9A7D1" w14:textId="35B39144" w:rsidR="00C36400" w:rsidRPr="0098602B" w:rsidRDefault="00C36400" w:rsidP="00CD06DC">
            <w:pPr>
              <w:jc w:val="center"/>
              <w:rPr>
                <w:b/>
              </w:rPr>
            </w:pPr>
            <w:r w:rsidRPr="0098602B">
              <w:rPr>
                <w:b/>
              </w:rPr>
              <w:t>Part 4</w:t>
            </w:r>
          </w:p>
        </w:tc>
        <w:tc>
          <w:tcPr>
            <w:tcW w:w="14035" w:type="dxa"/>
            <w:gridSpan w:val="3"/>
            <w:shd w:val="clear" w:color="auto" w:fill="F2F2F2"/>
          </w:tcPr>
          <w:p w14:paraId="4267F556" w14:textId="77777777" w:rsidR="00C36400" w:rsidRPr="0098602B" w:rsidRDefault="00C36400" w:rsidP="004D4870">
            <w:pPr>
              <w:spacing w:before="120"/>
              <w:rPr>
                <w:b/>
              </w:rPr>
            </w:pPr>
            <w:r w:rsidRPr="0098602B">
              <w:rPr>
                <w:b/>
              </w:rPr>
              <w:t>Who carries out executive responsibilities?</w:t>
            </w:r>
          </w:p>
        </w:tc>
      </w:tr>
      <w:tr w:rsidR="0098602B" w:rsidRPr="0098602B" w14:paraId="34877D22" w14:textId="77777777" w:rsidTr="00F3216D">
        <w:trPr>
          <w:trHeight w:val="575"/>
        </w:trPr>
        <w:tc>
          <w:tcPr>
            <w:tcW w:w="1162" w:type="dxa"/>
            <w:shd w:val="clear" w:color="auto" w:fill="auto"/>
            <w:vAlign w:val="center"/>
          </w:tcPr>
          <w:p w14:paraId="52870C6B" w14:textId="77777777" w:rsidR="00C662F4" w:rsidRPr="0098602B" w:rsidRDefault="00C662F4" w:rsidP="00601E68">
            <w:pPr>
              <w:rPr>
                <w:bCs/>
              </w:rPr>
            </w:pPr>
          </w:p>
          <w:p w14:paraId="77127591" w14:textId="64D28C47" w:rsidR="00700B01" w:rsidRPr="0098602B" w:rsidRDefault="00700B01" w:rsidP="00CD06DC">
            <w:pPr>
              <w:jc w:val="center"/>
              <w:rPr>
                <w:bCs/>
              </w:rPr>
            </w:pPr>
            <w:r w:rsidRPr="0098602B">
              <w:rPr>
                <w:bCs/>
              </w:rPr>
              <w:t>4.5</w:t>
            </w:r>
            <w:r w:rsidR="001A31C6">
              <w:rPr>
                <w:bCs/>
              </w:rPr>
              <w:t xml:space="preserve"> 28</w:t>
            </w:r>
          </w:p>
        </w:tc>
        <w:tc>
          <w:tcPr>
            <w:tcW w:w="6521" w:type="dxa"/>
          </w:tcPr>
          <w:p w14:paraId="1A353ECE" w14:textId="77777777" w:rsidR="00700B01" w:rsidRPr="0098602B" w:rsidRDefault="00700B01" w:rsidP="004D4870">
            <w:pPr>
              <w:spacing w:before="120"/>
            </w:pPr>
            <w:r w:rsidRPr="0098602B">
              <w:rPr>
                <w:b/>
              </w:rPr>
              <w:t>Decisions that must be agreed by the Cabinet</w:t>
            </w:r>
          </w:p>
          <w:p w14:paraId="07B71385" w14:textId="7CAA1C54" w:rsidR="00700B01" w:rsidRPr="0098602B" w:rsidRDefault="005B71C5" w:rsidP="004D4870">
            <w:pPr>
              <w:spacing w:before="120"/>
            </w:pPr>
            <w:r w:rsidRPr="0098602B">
              <w:t>List to be updated</w:t>
            </w:r>
            <w:r w:rsidR="00700B01" w:rsidRPr="0098602B">
              <w:t xml:space="preserve"> </w:t>
            </w:r>
            <w:r w:rsidR="004F66A7" w:rsidRPr="0098602B">
              <w:t>to reflect</w:t>
            </w:r>
            <w:r w:rsidR="00700B01" w:rsidRPr="0098602B">
              <w:t xml:space="preserve"> </w:t>
            </w:r>
            <w:r w:rsidR="00340411" w:rsidRPr="0098602B">
              <w:t xml:space="preserve">the </w:t>
            </w:r>
            <w:r w:rsidR="003A567D" w:rsidRPr="0098602B">
              <w:t xml:space="preserve">refreshed </w:t>
            </w:r>
            <w:r w:rsidR="00340411" w:rsidRPr="0098602B">
              <w:t>Street Naming and Numbering Policy</w:t>
            </w:r>
            <w:r w:rsidR="005E3549" w:rsidRPr="0098602B">
              <w:t xml:space="preserve"> (once agreed).</w:t>
            </w:r>
          </w:p>
          <w:p w14:paraId="15748F04" w14:textId="77777777" w:rsidR="00700B01" w:rsidRPr="0098602B" w:rsidRDefault="00700B01" w:rsidP="004D4870"/>
          <w:p w14:paraId="3E2C5BC4" w14:textId="0412EEEC" w:rsidR="00700B01" w:rsidRPr="0098602B" w:rsidRDefault="00700B01" w:rsidP="004D4870">
            <w:r w:rsidRPr="0098602B">
              <w:rPr>
                <w:b/>
              </w:rPr>
              <w:t xml:space="preserve">Rationale: </w:t>
            </w:r>
            <w:r w:rsidRPr="0098602B">
              <w:t xml:space="preserve">To </w:t>
            </w:r>
            <w:r w:rsidR="00340411" w:rsidRPr="0098602B">
              <w:t xml:space="preserve">reflect the decisions required </w:t>
            </w:r>
            <w:r w:rsidR="00C723E9" w:rsidRPr="0098602B">
              <w:t xml:space="preserve">by Cabinet </w:t>
            </w:r>
            <w:r w:rsidR="00340411" w:rsidRPr="0098602B">
              <w:t>if there are objections to a street name or if a street name review is required</w:t>
            </w:r>
            <w:r w:rsidR="004D1819" w:rsidRPr="0098602B">
              <w:t>.</w:t>
            </w:r>
            <w:r w:rsidR="006B62F0" w:rsidRPr="0098602B">
              <w:t xml:space="preserve"> Cabinet will be asked to agree the new </w:t>
            </w:r>
            <w:r w:rsidR="006B62F0" w:rsidRPr="0098602B">
              <w:lastRenderedPageBreak/>
              <w:t>Street Naming and Numbering Policy on 11 November 2020.</w:t>
            </w:r>
          </w:p>
          <w:p w14:paraId="39D49701" w14:textId="77777777" w:rsidR="0038187B" w:rsidRPr="0098602B" w:rsidRDefault="0038187B" w:rsidP="004D4870"/>
          <w:p w14:paraId="339F3AAF" w14:textId="011869D5" w:rsidR="0038187B" w:rsidRPr="0098602B" w:rsidRDefault="0038187B" w:rsidP="004D4870"/>
        </w:tc>
        <w:tc>
          <w:tcPr>
            <w:tcW w:w="1277" w:type="dxa"/>
            <w:shd w:val="clear" w:color="auto" w:fill="auto"/>
          </w:tcPr>
          <w:p w14:paraId="19D0A01B" w14:textId="77777777" w:rsidR="00C723E9" w:rsidRPr="0098602B" w:rsidRDefault="00C723E9" w:rsidP="008E7BD5"/>
          <w:p w14:paraId="498352D1" w14:textId="77777777" w:rsidR="005B71C5" w:rsidRPr="0098602B" w:rsidRDefault="005B71C5" w:rsidP="008E7BD5"/>
          <w:p w14:paraId="7857F36F" w14:textId="03214788" w:rsidR="00B97D80" w:rsidRPr="0098602B" w:rsidRDefault="00B97D80" w:rsidP="008E7BD5">
            <w:r w:rsidRPr="0098602B">
              <w:t xml:space="preserve">4.5 </w:t>
            </w:r>
            <w:r w:rsidR="00681D9E" w:rsidRPr="0098602B">
              <w:t xml:space="preserve"> </w:t>
            </w:r>
            <w:r w:rsidRPr="0098602B">
              <w:t>28</w:t>
            </w:r>
            <w:r w:rsidR="001A31C6">
              <w:t>a</w:t>
            </w:r>
          </w:p>
          <w:p w14:paraId="109CD1DE" w14:textId="77777777" w:rsidR="00B97D80" w:rsidRPr="0098602B" w:rsidRDefault="00B97D80" w:rsidP="008E7BD5"/>
          <w:p w14:paraId="25880006" w14:textId="77777777" w:rsidR="008E7BD5" w:rsidRPr="0098602B" w:rsidRDefault="008E7BD5" w:rsidP="008E7BD5"/>
          <w:p w14:paraId="0CEAFAD8" w14:textId="2162709E" w:rsidR="00B97D80" w:rsidRPr="001A31C6" w:rsidRDefault="00681D9E" w:rsidP="008E7BD5">
            <w:r w:rsidRPr="0098602B">
              <w:t>4</w:t>
            </w:r>
            <w:r w:rsidR="001A31C6" w:rsidRPr="001A31C6">
              <w:t>.5  28b</w:t>
            </w:r>
          </w:p>
          <w:p w14:paraId="224558D4" w14:textId="77777777" w:rsidR="00681D9E" w:rsidRPr="001A31C6" w:rsidRDefault="00681D9E" w:rsidP="008E7BD5"/>
          <w:p w14:paraId="596D8CAA" w14:textId="77777777" w:rsidR="00681D9E" w:rsidRPr="001A31C6" w:rsidRDefault="00681D9E" w:rsidP="008E7BD5"/>
          <w:p w14:paraId="45D86E2C" w14:textId="77777777" w:rsidR="00681D9E" w:rsidRPr="001A31C6" w:rsidRDefault="00681D9E" w:rsidP="008E7BD5"/>
          <w:p w14:paraId="5595E505" w14:textId="460F2CDD" w:rsidR="00F37F06" w:rsidRPr="001A31C6" w:rsidRDefault="001A31C6" w:rsidP="008E7BD5">
            <w:r w:rsidRPr="001A31C6">
              <w:t>4.5  28c</w:t>
            </w:r>
          </w:p>
          <w:p w14:paraId="1F5BEA04" w14:textId="77777777" w:rsidR="00681D9E" w:rsidRPr="001A31C6" w:rsidRDefault="00681D9E" w:rsidP="008E7BD5"/>
          <w:p w14:paraId="242D56E0" w14:textId="77777777" w:rsidR="00681D9E" w:rsidRPr="001A31C6" w:rsidRDefault="00681D9E" w:rsidP="008E7BD5"/>
          <w:p w14:paraId="7A6A846C" w14:textId="77777777" w:rsidR="00681D9E" w:rsidRPr="001A31C6" w:rsidRDefault="00681D9E" w:rsidP="008E7BD5"/>
          <w:p w14:paraId="63671426" w14:textId="77777777" w:rsidR="00681D9E" w:rsidRPr="001A31C6" w:rsidRDefault="00681D9E" w:rsidP="008E7BD5"/>
          <w:p w14:paraId="476F8DFD" w14:textId="77777777" w:rsidR="00681D9E" w:rsidRPr="001A31C6" w:rsidRDefault="00681D9E" w:rsidP="008E7BD5"/>
          <w:p w14:paraId="7D218A25" w14:textId="77777777" w:rsidR="00681D9E" w:rsidRPr="001A31C6" w:rsidRDefault="00681D9E" w:rsidP="008E7BD5"/>
          <w:p w14:paraId="14CDB045" w14:textId="3632B995" w:rsidR="00681D9E" w:rsidRPr="0098602B" w:rsidRDefault="001A31C6" w:rsidP="008E7BD5">
            <w:r w:rsidRPr="001A31C6">
              <w:t>4.5  28d</w:t>
            </w:r>
          </w:p>
          <w:p w14:paraId="480F2EA0" w14:textId="77777777" w:rsidR="00930EBC" w:rsidRPr="0098602B" w:rsidRDefault="00930EBC" w:rsidP="008E7BD5"/>
          <w:p w14:paraId="7E9B282F" w14:textId="50531394" w:rsidR="00930EBC" w:rsidRPr="0098602B" w:rsidRDefault="00930EBC" w:rsidP="008E7BD5"/>
        </w:tc>
        <w:tc>
          <w:tcPr>
            <w:tcW w:w="6237" w:type="dxa"/>
            <w:shd w:val="clear" w:color="auto" w:fill="auto"/>
            <w:vAlign w:val="center"/>
          </w:tcPr>
          <w:p w14:paraId="053C30B4" w14:textId="77777777" w:rsidR="005B71C5" w:rsidRPr="0098602B" w:rsidRDefault="005B71C5" w:rsidP="004D4870">
            <w:pPr>
              <w:pStyle w:val="ListParagraph"/>
              <w:ind w:left="0"/>
              <w:rPr>
                <w:rFonts w:ascii="Arial" w:hAnsi="Arial" w:cs="Arial"/>
                <w:sz w:val="24"/>
                <w:szCs w:val="24"/>
              </w:rPr>
            </w:pPr>
          </w:p>
          <w:p w14:paraId="77F15D30" w14:textId="77777777" w:rsidR="005B71C5" w:rsidRPr="0098602B" w:rsidRDefault="005B71C5" w:rsidP="004D4870">
            <w:pPr>
              <w:pStyle w:val="ListParagraph"/>
              <w:ind w:left="0"/>
              <w:rPr>
                <w:rFonts w:ascii="Arial" w:hAnsi="Arial" w:cs="Arial"/>
                <w:sz w:val="24"/>
                <w:szCs w:val="24"/>
              </w:rPr>
            </w:pPr>
          </w:p>
          <w:p w14:paraId="5D3E094D" w14:textId="756D0E97" w:rsidR="00B97D80" w:rsidRPr="0098602B" w:rsidRDefault="00B97D80" w:rsidP="004D4870">
            <w:pPr>
              <w:pStyle w:val="ListParagraph"/>
              <w:ind w:left="0"/>
              <w:rPr>
                <w:rFonts w:ascii="Arial" w:hAnsi="Arial" w:cs="Arial"/>
                <w:sz w:val="24"/>
                <w:szCs w:val="24"/>
              </w:rPr>
            </w:pPr>
            <w:r w:rsidRPr="0098602B">
              <w:rPr>
                <w:rFonts w:ascii="Arial" w:hAnsi="Arial" w:cs="Arial"/>
                <w:sz w:val="24"/>
                <w:szCs w:val="24"/>
              </w:rPr>
              <w:t>Naming and numbering streets if there are unresolved objections following consultation</w:t>
            </w:r>
          </w:p>
          <w:p w14:paraId="2FF7B6C0" w14:textId="77777777" w:rsidR="00B97D80" w:rsidRPr="0098602B" w:rsidRDefault="00B97D80" w:rsidP="004D4870">
            <w:pPr>
              <w:pStyle w:val="ListParagraph"/>
              <w:ind w:left="360"/>
              <w:rPr>
                <w:rFonts w:ascii="Arial" w:hAnsi="Arial" w:cs="Arial"/>
                <w:sz w:val="24"/>
                <w:szCs w:val="24"/>
                <w:u w:val="single"/>
              </w:rPr>
            </w:pPr>
          </w:p>
          <w:p w14:paraId="0815F9A0" w14:textId="77777777" w:rsidR="00681D9E" w:rsidRPr="0098602B" w:rsidRDefault="00681D9E" w:rsidP="004D4870">
            <w:pPr>
              <w:pStyle w:val="ListParagraph"/>
              <w:ind w:left="0"/>
              <w:rPr>
                <w:rFonts w:ascii="Arial" w:hAnsi="Arial" w:cs="Arial"/>
                <w:sz w:val="24"/>
                <w:szCs w:val="24"/>
                <w:u w:val="single"/>
              </w:rPr>
            </w:pPr>
            <w:r w:rsidRPr="0098602B">
              <w:rPr>
                <w:rFonts w:ascii="Arial" w:hAnsi="Arial" w:cs="Arial"/>
                <w:sz w:val="24"/>
                <w:szCs w:val="24"/>
                <w:u w:val="single"/>
              </w:rPr>
              <w:t xml:space="preserve">Agreeing policy redrafts and/or any substantial amendments to the Street Naming and Numbering Policy </w:t>
            </w:r>
          </w:p>
          <w:p w14:paraId="1C3195CD" w14:textId="77777777" w:rsidR="00681D9E" w:rsidRPr="0098602B" w:rsidRDefault="00681D9E" w:rsidP="004D4870">
            <w:pPr>
              <w:pStyle w:val="ListParagraph"/>
              <w:ind w:left="0"/>
              <w:rPr>
                <w:rFonts w:ascii="Arial" w:hAnsi="Arial" w:cs="Arial"/>
                <w:sz w:val="24"/>
                <w:szCs w:val="24"/>
                <w:u w:val="single"/>
              </w:rPr>
            </w:pPr>
          </w:p>
          <w:p w14:paraId="354C8E5F" w14:textId="5C1FB800" w:rsidR="00681D9E" w:rsidRPr="0098602B" w:rsidRDefault="00681D9E" w:rsidP="004D4870">
            <w:pPr>
              <w:pStyle w:val="ListParagraph"/>
              <w:ind w:left="0"/>
              <w:rPr>
                <w:rFonts w:ascii="Arial" w:hAnsi="Arial" w:cs="Arial"/>
                <w:sz w:val="24"/>
                <w:szCs w:val="24"/>
                <w:u w:val="single"/>
              </w:rPr>
            </w:pPr>
            <w:r w:rsidRPr="0098602B">
              <w:rPr>
                <w:rFonts w:ascii="Arial" w:hAnsi="Arial" w:cs="Arial"/>
                <w:sz w:val="24"/>
                <w:szCs w:val="24"/>
                <w:u w:val="single"/>
              </w:rPr>
              <w:t xml:space="preserve">Consider whether a review of a street name should be carried out (on receipt, by the Council, of representations from local councillors and evidence that a substantial </w:t>
            </w:r>
            <w:r w:rsidRPr="0098602B">
              <w:rPr>
                <w:rFonts w:ascii="Arial" w:hAnsi="Arial" w:cs="Arial"/>
                <w:sz w:val="24"/>
                <w:szCs w:val="24"/>
                <w:u w:val="single"/>
              </w:rPr>
              <w:lastRenderedPageBreak/>
              <w:t>proportion of those who live in properties in the street or road are calling for a change in the street name)</w:t>
            </w:r>
          </w:p>
          <w:p w14:paraId="7DBCC832" w14:textId="77777777" w:rsidR="00681D9E" w:rsidRPr="0098602B" w:rsidRDefault="00681D9E" w:rsidP="004D4870">
            <w:pPr>
              <w:pStyle w:val="ListParagraph"/>
              <w:ind w:left="0"/>
              <w:rPr>
                <w:rFonts w:ascii="Arial" w:hAnsi="Arial" w:cs="Arial"/>
                <w:sz w:val="24"/>
                <w:szCs w:val="24"/>
                <w:u w:val="single"/>
              </w:rPr>
            </w:pPr>
          </w:p>
          <w:p w14:paraId="13E18CE5" w14:textId="01A84D0B" w:rsidR="00B97D80" w:rsidRPr="0098602B" w:rsidRDefault="00681D9E" w:rsidP="004D4870">
            <w:pPr>
              <w:pStyle w:val="ListParagraph"/>
              <w:ind w:left="0"/>
              <w:rPr>
                <w:rFonts w:ascii="Arial" w:hAnsi="Arial" w:cs="Arial"/>
                <w:sz w:val="24"/>
                <w:szCs w:val="24"/>
                <w:u w:val="single"/>
              </w:rPr>
            </w:pPr>
            <w:r w:rsidRPr="0098602B">
              <w:rPr>
                <w:rFonts w:ascii="Arial" w:hAnsi="Arial" w:cs="Arial"/>
                <w:sz w:val="24"/>
                <w:szCs w:val="24"/>
                <w:u w:val="single"/>
              </w:rPr>
              <w:t>R</w:t>
            </w:r>
            <w:r w:rsidR="00B97D80" w:rsidRPr="0098602B">
              <w:rPr>
                <w:rFonts w:ascii="Arial" w:hAnsi="Arial" w:cs="Arial"/>
                <w:sz w:val="24"/>
                <w:szCs w:val="24"/>
                <w:u w:val="single"/>
              </w:rPr>
              <w:t>enaming a street i</w:t>
            </w:r>
            <w:r w:rsidRPr="0098602B">
              <w:rPr>
                <w:rFonts w:ascii="Arial" w:hAnsi="Arial" w:cs="Arial"/>
                <w:sz w:val="24"/>
                <w:szCs w:val="24"/>
                <w:u w:val="single"/>
              </w:rPr>
              <w:t xml:space="preserve">n the event of </w:t>
            </w:r>
            <w:r w:rsidR="004033B5" w:rsidRPr="0098602B">
              <w:rPr>
                <w:rFonts w:ascii="Arial" w:hAnsi="Arial" w:cs="Arial"/>
                <w:sz w:val="24"/>
                <w:szCs w:val="24"/>
                <w:u w:val="single"/>
              </w:rPr>
              <w:t>there being a</w:t>
            </w:r>
            <w:r w:rsidR="00B97D80" w:rsidRPr="0098602B">
              <w:rPr>
                <w:rFonts w:ascii="Arial" w:hAnsi="Arial" w:cs="Arial"/>
                <w:sz w:val="24"/>
                <w:szCs w:val="24"/>
                <w:u w:val="single"/>
              </w:rPr>
              <w:t xml:space="preserve"> balance of judgments to be made </w:t>
            </w:r>
            <w:r w:rsidR="008C1B8E" w:rsidRPr="0098602B">
              <w:rPr>
                <w:rFonts w:ascii="Arial" w:hAnsi="Arial" w:cs="Arial"/>
                <w:sz w:val="24"/>
                <w:szCs w:val="24"/>
                <w:u w:val="single"/>
              </w:rPr>
              <w:t>or there are unresolved objections</w:t>
            </w:r>
            <w:r w:rsidR="00B97D80" w:rsidRPr="0098602B">
              <w:rPr>
                <w:rFonts w:ascii="Arial" w:hAnsi="Arial" w:cs="Arial"/>
                <w:sz w:val="24"/>
                <w:szCs w:val="24"/>
                <w:u w:val="single"/>
              </w:rPr>
              <w:t xml:space="preserve"> </w:t>
            </w:r>
            <w:r w:rsidR="008C1B8E" w:rsidRPr="0098602B">
              <w:rPr>
                <w:rFonts w:ascii="Arial" w:hAnsi="Arial" w:cs="Arial"/>
                <w:sz w:val="24"/>
                <w:szCs w:val="24"/>
                <w:u w:val="single"/>
              </w:rPr>
              <w:t>following consultation about possible names.</w:t>
            </w:r>
          </w:p>
          <w:p w14:paraId="21618066" w14:textId="64A53226" w:rsidR="00F37F06" w:rsidRPr="0098602B" w:rsidRDefault="00F37F06" w:rsidP="004D4870">
            <w:pPr>
              <w:pStyle w:val="ListParagraph"/>
              <w:ind w:left="0"/>
              <w:rPr>
                <w:u w:val="single"/>
              </w:rPr>
            </w:pPr>
          </w:p>
        </w:tc>
      </w:tr>
      <w:tr w:rsidR="0098602B" w:rsidRPr="0098602B" w14:paraId="1D43DD7D" w14:textId="77777777" w:rsidTr="00F3216D">
        <w:trPr>
          <w:trHeight w:val="575"/>
        </w:trPr>
        <w:tc>
          <w:tcPr>
            <w:tcW w:w="1162" w:type="dxa"/>
            <w:shd w:val="clear" w:color="auto" w:fill="auto"/>
            <w:vAlign w:val="center"/>
          </w:tcPr>
          <w:p w14:paraId="1441FC83" w14:textId="77777777" w:rsidR="00C723E9" w:rsidRPr="0098602B" w:rsidRDefault="00C723E9" w:rsidP="004C2F3B">
            <w:pPr>
              <w:rPr>
                <w:bCs/>
              </w:rPr>
            </w:pPr>
          </w:p>
          <w:p w14:paraId="4280F632" w14:textId="77777777" w:rsidR="00C723E9" w:rsidRPr="0098602B" w:rsidRDefault="00C723E9" w:rsidP="00C723E9">
            <w:pPr>
              <w:jc w:val="center"/>
              <w:rPr>
                <w:bCs/>
              </w:rPr>
            </w:pPr>
          </w:p>
          <w:p w14:paraId="6871B660" w14:textId="77777777" w:rsidR="00C723E9" w:rsidRPr="0098602B" w:rsidRDefault="00C723E9" w:rsidP="00C723E9">
            <w:pPr>
              <w:jc w:val="center"/>
              <w:rPr>
                <w:bCs/>
              </w:rPr>
            </w:pPr>
          </w:p>
          <w:p w14:paraId="7A14CC5C" w14:textId="6D6E7563" w:rsidR="00C723E9" w:rsidRPr="0098602B" w:rsidRDefault="00C723E9" w:rsidP="00C723E9">
            <w:pPr>
              <w:jc w:val="center"/>
              <w:rPr>
                <w:bCs/>
              </w:rPr>
            </w:pPr>
            <w:r w:rsidRPr="0098602B">
              <w:rPr>
                <w:bCs/>
              </w:rPr>
              <w:t>4.5</w:t>
            </w:r>
          </w:p>
        </w:tc>
        <w:tc>
          <w:tcPr>
            <w:tcW w:w="6521" w:type="dxa"/>
          </w:tcPr>
          <w:p w14:paraId="419A421D" w14:textId="77777777" w:rsidR="00C723E9" w:rsidRPr="0098602B" w:rsidRDefault="00C723E9" w:rsidP="004D4870">
            <w:pPr>
              <w:spacing w:before="120"/>
            </w:pPr>
            <w:r w:rsidRPr="0098602B">
              <w:rPr>
                <w:b/>
              </w:rPr>
              <w:t>Decisions that must be agreed by the Cabinet</w:t>
            </w:r>
          </w:p>
          <w:p w14:paraId="181A8853" w14:textId="77777777" w:rsidR="00C723E9" w:rsidRPr="0098602B" w:rsidRDefault="00C723E9" w:rsidP="004D4870"/>
          <w:p w14:paraId="4CECA8C6" w14:textId="77777777" w:rsidR="00C723E9" w:rsidRPr="0098602B" w:rsidRDefault="00C723E9" w:rsidP="004D4870">
            <w:r w:rsidRPr="0098602B">
              <w:t>To update to make provision for joint arrangements for executive functions.</w:t>
            </w:r>
          </w:p>
          <w:p w14:paraId="2E139EDB" w14:textId="77777777" w:rsidR="00C723E9" w:rsidRPr="0098602B" w:rsidRDefault="00C723E9" w:rsidP="004D4870"/>
          <w:p w14:paraId="5C4887F5" w14:textId="77777777" w:rsidR="00C723E9" w:rsidRPr="0098602B" w:rsidRDefault="00C723E9" w:rsidP="004D4870">
            <w:pPr>
              <w:spacing w:before="120"/>
            </w:pPr>
            <w:r w:rsidRPr="0098602B">
              <w:rPr>
                <w:b/>
              </w:rPr>
              <w:t xml:space="preserve">Rationale: </w:t>
            </w:r>
            <w:r w:rsidRPr="0098602B">
              <w:t xml:space="preserve">To include responsibilities in relation to joint arrangements for executive functions. </w:t>
            </w:r>
            <w:r w:rsidR="006B62F0" w:rsidRPr="0098602B">
              <w:t>These changes are consequential to the proposals in 3.8 and 3.9 above.</w:t>
            </w:r>
          </w:p>
          <w:p w14:paraId="0AF0CC74" w14:textId="6C1921F0" w:rsidR="006B62F0" w:rsidRPr="0098602B" w:rsidRDefault="006B62F0" w:rsidP="004D4870">
            <w:pPr>
              <w:spacing w:before="120"/>
              <w:rPr>
                <w:b/>
              </w:rPr>
            </w:pPr>
          </w:p>
        </w:tc>
        <w:tc>
          <w:tcPr>
            <w:tcW w:w="1277" w:type="dxa"/>
            <w:shd w:val="clear" w:color="auto" w:fill="auto"/>
          </w:tcPr>
          <w:p w14:paraId="611CA822" w14:textId="77777777" w:rsidR="00C723E9" w:rsidRPr="0098602B" w:rsidRDefault="00C723E9" w:rsidP="00C723E9"/>
          <w:p w14:paraId="37DC2D96" w14:textId="77777777" w:rsidR="005B71C5" w:rsidRPr="0098602B" w:rsidRDefault="005B71C5" w:rsidP="00C723E9"/>
          <w:p w14:paraId="236B1A1D" w14:textId="099B87AF" w:rsidR="00C723E9" w:rsidRPr="001A31C6" w:rsidRDefault="00C723E9" w:rsidP="00C723E9">
            <w:r w:rsidRPr="0098602B">
              <w:t>4</w:t>
            </w:r>
            <w:r w:rsidRPr="001A31C6">
              <w:t xml:space="preserve">.5  </w:t>
            </w:r>
            <w:r w:rsidR="001A31C6" w:rsidRPr="001A31C6">
              <w:t>41</w:t>
            </w:r>
          </w:p>
          <w:p w14:paraId="5ED58461" w14:textId="77777777" w:rsidR="00C723E9" w:rsidRPr="001A31C6" w:rsidRDefault="00C723E9" w:rsidP="00C723E9"/>
          <w:p w14:paraId="40445FC5" w14:textId="77777777" w:rsidR="00C723E9" w:rsidRPr="001A31C6" w:rsidRDefault="00C723E9" w:rsidP="00C723E9"/>
          <w:p w14:paraId="5D98961C" w14:textId="77777777" w:rsidR="005B71C5" w:rsidRPr="001A31C6" w:rsidRDefault="005B71C5" w:rsidP="00C723E9"/>
          <w:p w14:paraId="52E02853" w14:textId="60874CF3" w:rsidR="00C723E9" w:rsidRPr="0098602B" w:rsidRDefault="001A31C6" w:rsidP="00C723E9">
            <w:r w:rsidRPr="001A31C6">
              <w:t>4.5  42</w:t>
            </w:r>
          </w:p>
        </w:tc>
        <w:tc>
          <w:tcPr>
            <w:tcW w:w="6237" w:type="dxa"/>
            <w:shd w:val="clear" w:color="auto" w:fill="auto"/>
            <w:vAlign w:val="center"/>
          </w:tcPr>
          <w:p w14:paraId="14CD9B80" w14:textId="77777777" w:rsidR="005B71C5" w:rsidRPr="0098602B" w:rsidRDefault="005B71C5" w:rsidP="004D4870">
            <w:pPr>
              <w:pStyle w:val="ListParagraph"/>
              <w:ind w:left="0"/>
              <w:rPr>
                <w:rFonts w:ascii="Arial" w:hAnsi="Arial" w:cs="Arial"/>
                <w:sz w:val="24"/>
                <w:szCs w:val="24"/>
                <w:u w:val="single"/>
              </w:rPr>
            </w:pPr>
          </w:p>
          <w:p w14:paraId="4AD0A6AB" w14:textId="77777777" w:rsidR="005B71C5" w:rsidRPr="0098602B" w:rsidRDefault="005B71C5" w:rsidP="004D4870">
            <w:pPr>
              <w:pStyle w:val="ListParagraph"/>
              <w:ind w:left="0"/>
              <w:rPr>
                <w:rFonts w:ascii="Arial" w:hAnsi="Arial" w:cs="Arial"/>
                <w:sz w:val="24"/>
                <w:szCs w:val="24"/>
                <w:u w:val="single"/>
              </w:rPr>
            </w:pPr>
          </w:p>
          <w:p w14:paraId="5A7A329F" w14:textId="77777777" w:rsidR="00C723E9" w:rsidRPr="0098602B" w:rsidRDefault="00C723E9" w:rsidP="004D4870">
            <w:pPr>
              <w:pStyle w:val="ListParagraph"/>
              <w:ind w:left="0"/>
              <w:rPr>
                <w:rFonts w:ascii="Arial" w:hAnsi="Arial" w:cs="Arial"/>
                <w:sz w:val="24"/>
                <w:szCs w:val="24"/>
                <w:u w:val="single"/>
              </w:rPr>
            </w:pPr>
            <w:r w:rsidRPr="0098602B">
              <w:rPr>
                <w:rFonts w:ascii="Arial" w:hAnsi="Arial" w:cs="Arial"/>
                <w:sz w:val="24"/>
                <w:szCs w:val="24"/>
                <w:u w:val="single"/>
              </w:rPr>
              <w:t>Agreeing whether to discharge an executive function by way of joint arrangement.</w:t>
            </w:r>
          </w:p>
          <w:p w14:paraId="1CF4E7F0" w14:textId="77777777" w:rsidR="00C723E9" w:rsidRPr="0098602B" w:rsidRDefault="00C723E9" w:rsidP="004D4870">
            <w:pPr>
              <w:pStyle w:val="ListParagraph"/>
              <w:ind w:left="0"/>
              <w:rPr>
                <w:rFonts w:ascii="Arial" w:hAnsi="Arial" w:cs="Arial"/>
                <w:sz w:val="24"/>
                <w:szCs w:val="24"/>
                <w:u w:val="single"/>
              </w:rPr>
            </w:pPr>
          </w:p>
          <w:p w14:paraId="7A72A46C" w14:textId="77777777" w:rsidR="00C723E9" w:rsidRPr="0098602B" w:rsidRDefault="00C723E9" w:rsidP="004D4870">
            <w:pPr>
              <w:pStyle w:val="ListParagraph"/>
              <w:ind w:left="0"/>
              <w:rPr>
                <w:rFonts w:ascii="Arial" w:hAnsi="Arial" w:cs="Arial"/>
                <w:sz w:val="24"/>
                <w:szCs w:val="24"/>
                <w:u w:val="single"/>
              </w:rPr>
            </w:pPr>
            <w:r w:rsidRPr="0098602B">
              <w:rPr>
                <w:rFonts w:ascii="Arial" w:hAnsi="Arial" w:cs="Arial"/>
                <w:sz w:val="24"/>
                <w:szCs w:val="24"/>
                <w:u w:val="single"/>
              </w:rPr>
              <w:t>Agreeing whether to accept a delegation of an executive function from another local authority under joint arrangements.</w:t>
            </w:r>
          </w:p>
          <w:p w14:paraId="7C77DC1A" w14:textId="77777777" w:rsidR="00C723E9" w:rsidRPr="0098602B" w:rsidRDefault="00C723E9" w:rsidP="004D4870">
            <w:pPr>
              <w:spacing w:before="120" w:after="120"/>
              <w:rPr>
                <w:lang w:eastAsia="en-GB"/>
              </w:rPr>
            </w:pPr>
          </w:p>
        </w:tc>
      </w:tr>
      <w:tr w:rsidR="0098602B" w:rsidRPr="0098602B" w14:paraId="4E84E435" w14:textId="77777777" w:rsidTr="00F3216D">
        <w:trPr>
          <w:trHeight w:val="575"/>
        </w:trPr>
        <w:tc>
          <w:tcPr>
            <w:tcW w:w="1162" w:type="dxa"/>
            <w:tcBorders>
              <w:top w:val="single" w:sz="4" w:space="0" w:color="auto"/>
            </w:tcBorders>
            <w:shd w:val="clear" w:color="auto" w:fill="auto"/>
            <w:vAlign w:val="center"/>
          </w:tcPr>
          <w:p w14:paraId="4CD83E0B" w14:textId="6594A7AE" w:rsidR="00867F83" w:rsidRPr="0098602B" w:rsidRDefault="00867F83" w:rsidP="00CD06DC">
            <w:pPr>
              <w:jc w:val="center"/>
              <w:rPr>
                <w:bCs/>
              </w:rPr>
            </w:pPr>
            <w:r w:rsidRPr="0098602B">
              <w:rPr>
                <w:bCs/>
              </w:rPr>
              <w:t>4.6</w:t>
            </w:r>
            <w:r w:rsidR="00D634A0" w:rsidRPr="0098602B">
              <w:rPr>
                <w:bCs/>
              </w:rPr>
              <w:t>(b)</w:t>
            </w:r>
          </w:p>
        </w:tc>
        <w:tc>
          <w:tcPr>
            <w:tcW w:w="6521" w:type="dxa"/>
          </w:tcPr>
          <w:p w14:paraId="1ED10AC8" w14:textId="77777777" w:rsidR="00867F83" w:rsidRPr="0098602B" w:rsidRDefault="00F7061F" w:rsidP="004D4870">
            <w:pPr>
              <w:spacing w:before="120"/>
              <w:rPr>
                <w:b/>
              </w:rPr>
            </w:pPr>
            <w:r w:rsidRPr="0098602B">
              <w:rPr>
                <w:b/>
              </w:rPr>
              <w:t>Ward member decisions</w:t>
            </w:r>
          </w:p>
          <w:p w14:paraId="54976BE1" w14:textId="7AD578D4" w:rsidR="00F7061F" w:rsidRPr="0098602B" w:rsidRDefault="00F7061F" w:rsidP="004D4870">
            <w:pPr>
              <w:spacing w:before="120"/>
            </w:pPr>
            <w:r w:rsidRPr="0098602B">
              <w:t xml:space="preserve">To </w:t>
            </w:r>
            <w:r w:rsidR="00D634A0" w:rsidRPr="0098602B">
              <w:t>clarify that ward memb</w:t>
            </w:r>
            <w:r w:rsidR="00340411" w:rsidRPr="0098602B">
              <w:t>er budget spend allocations can</w:t>
            </w:r>
            <w:r w:rsidR="00D634A0" w:rsidRPr="0098602B">
              <w:t xml:space="preserve">not be awarded to </w:t>
            </w:r>
            <w:r w:rsidR="004F66A7" w:rsidRPr="0098602B">
              <w:t xml:space="preserve">benefit </w:t>
            </w:r>
            <w:r w:rsidR="00D634A0" w:rsidRPr="0098602B">
              <w:t>individuals</w:t>
            </w:r>
            <w:r w:rsidR="00BE46A9" w:rsidRPr="0098602B">
              <w:t>.</w:t>
            </w:r>
          </w:p>
          <w:p w14:paraId="6A25A038" w14:textId="1CA462E2" w:rsidR="004F5E2B" w:rsidRPr="0098602B" w:rsidRDefault="00F7061F" w:rsidP="004D4870">
            <w:pPr>
              <w:spacing w:before="120"/>
            </w:pPr>
            <w:r w:rsidRPr="0098602B">
              <w:rPr>
                <w:b/>
              </w:rPr>
              <w:t xml:space="preserve">Rationale: </w:t>
            </w:r>
            <w:r w:rsidRPr="0098602B">
              <w:t>To provide clarity and</w:t>
            </w:r>
            <w:r w:rsidR="00BE46A9" w:rsidRPr="0098602B">
              <w:t xml:space="preserve"> </w:t>
            </w:r>
            <w:r w:rsidRPr="0098602B">
              <w:t xml:space="preserve">reflect </w:t>
            </w:r>
            <w:r w:rsidR="00BE46A9" w:rsidRPr="0098602B">
              <w:t>the purpose of ward member budgets which is to provide a community benefit</w:t>
            </w:r>
            <w:r w:rsidR="00A47375" w:rsidRPr="0098602B">
              <w:t xml:space="preserve"> not to support individuals who may be struggling financially</w:t>
            </w:r>
            <w:r w:rsidRPr="0098602B">
              <w:t>.</w:t>
            </w:r>
            <w:r w:rsidR="00532210" w:rsidRPr="0098602B">
              <w:t xml:space="preserve"> </w:t>
            </w:r>
            <w:r w:rsidR="00A47375" w:rsidRPr="0098602B">
              <w:t xml:space="preserve">This proposal is to make clear what is already implicit in the rules; that WMB cannot be used to benefit individuals personally. </w:t>
            </w:r>
            <w:r w:rsidR="00532210" w:rsidRPr="0098602B">
              <w:t xml:space="preserve">The guidance for </w:t>
            </w:r>
            <w:r w:rsidR="00BB722E" w:rsidRPr="0098602B">
              <w:t>m</w:t>
            </w:r>
            <w:r w:rsidR="00532210" w:rsidRPr="0098602B">
              <w:t>embers will also be refreshed and updated.</w:t>
            </w:r>
          </w:p>
          <w:p w14:paraId="6DE03629" w14:textId="71524182" w:rsidR="00CB5A86" w:rsidRPr="0098602B" w:rsidRDefault="00CB5A86" w:rsidP="00F23B9C">
            <w:pPr>
              <w:rPr>
                <w:b/>
              </w:rPr>
            </w:pPr>
          </w:p>
        </w:tc>
        <w:tc>
          <w:tcPr>
            <w:tcW w:w="1277" w:type="dxa"/>
            <w:shd w:val="clear" w:color="auto" w:fill="auto"/>
            <w:vAlign w:val="center"/>
          </w:tcPr>
          <w:p w14:paraId="4D8AB2C3" w14:textId="404A0B9C" w:rsidR="00867F83" w:rsidRPr="0098602B" w:rsidRDefault="00E81127" w:rsidP="00B70617">
            <w:r>
              <w:t>4.7 (b)</w:t>
            </w:r>
          </w:p>
        </w:tc>
        <w:tc>
          <w:tcPr>
            <w:tcW w:w="6237" w:type="dxa"/>
            <w:shd w:val="clear" w:color="auto" w:fill="auto"/>
            <w:vAlign w:val="center"/>
          </w:tcPr>
          <w:p w14:paraId="363F2A1D" w14:textId="77777777" w:rsidR="00320F56" w:rsidRPr="0098602B" w:rsidRDefault="00320F56" w:rsidP="004D4870">
            <w:pPr>
              <w:spacing w:before="120" w:after="120"/>
              <w:rPr>
                <w:lang w:eastAsia="en-GB"/>
              </w:rPr>
            </w:pPr>
            <w:r w:rsidRPr="0098602B">
              <w:rPr>
                <w:lang w:eastAsia="en-GB"/>
              </w:rPr>
              <w:t>4.6 Ward member decisions</w:t>
            </w:r>
          </w:p>
          <w:p w14:paraId="773E7815" w14:textId="1F70EE34" w:rsidR="00320F56" w:rsidRPr="0098602B" w:rsidRDefault="00707BFF" w:rsidP="004D4870">
            <w:pPr>
              <w:spacing w:before="120" w:after="120"/>
              <w:rPr>
                <w:lang w:eastAsia="en-GB"/>
              </w:rPr>
            </w:pPr>
            <w:r w:rsidRPr="0098602B">
              <w:rPr>
                <w:lang w:eastAsia="en-GB"/>
              </w:rPr>
              <w:t xml:space="preserve">… (b) </w:t>
            </w:r>
            <w:r w:rsidR="004033B5" w:rsidRPr="0098602B">
              <w:rPr>
                <w:lang w:eastAsia="en-GB"/>
              </w:rPr>
              <w:t>…</w:t>
            </w:r>
          </w:p>
          <w:p w14:paraId="51E1E981" w14:textId="77777777" w:rsidR="00320F56" w:rsidRPr="0098602B" w:rsidRDefault="00320F56" w:rsidP="004D4870">
            <w:pPr>
              <w:spacing w:before="120" w:after="120"/>
              <w:rPr>
                <w:lang w:eastAsia="en-GB"/>
              </w:rPr>
            </w:pPr>
            <w:r w:rsidRPr="0098602B">
              <w:rPr>
                <w:lang w:eastAsia="en-GB"/>
              </w:rPr>
              <w:t>The allocation cannot be spent on:</w:t>
            </w:r>
          </w:p>
          <w:p w14:paraId="02E5622D" w14:textId="63582147" w:rsidR="00320F56" w:rsidRPr="0098602B" w:rsidRDefault="00320F56" w:rsidP="004D4870">
            <w:pPr>
              <w:pStyle w:val="ListParagraph"/>
              <w:numPr>
                <w:ilvl w:val="0"/>
                <w:numId w:val="27"/>
              </w:numPr>
              <w:spacing w:before="120" w:after="120"/>
              <w:rPr>
                <w:rFonts w:ascii="Arial" w:hAnsi="Arial" w:cs="Arial"/>
                <w:sz w:val="24"/>
                <w:szCs w:val="24"/>
                <w:lang w:eastAsia="en-GB"/>
              </w:rPr>
            </w:pPr>
            <w:r w:rsidRPr="0098602B">
              <w:rPr>
                <w:rFonts w:ascii="Arial" w:hAnsi="Arial" w:cs="Arial"/>
                <w:sz w:val="24"/>
                <w:szCs w:val="24"/>
                <w:lang w:eastAsia="en-GB"/>
              </w:rPr>
              <w:t>Projects that would financially benefit the ward member or members of their family directly</w:t>
            </w:r>
          </w:p>
          <w:p w14:paraId="34F4126B" w14:textId="7A876618" w:rsidR="00320F56" w:rsidRPr="0098602B" w:rsidRDefault="00320F56" w:rsidP="004D4870">
            <w:pPr>
              <w:pStyle w:val="ListParagraph"/>
              <w:numPr>
                <w:ilvl w:val="0"/>
                <w:numId w:val="27"/>
              </w:numPr>
              <w:spacing w:before="120" w:after="120"/>
              <w:rPr>
                <w:rFonts w:ascii="Arial" w:hAnsi="Arial" w:cs="Arial"/>
                <w:sz w:val="24"/>
                <w:szCs w:val="24"/>
                <w:lang w:eastAsia="en-GB"/>
              </w:rPr>
            </w:pPr>
            <w:r w:rsidRPr="0098602B">
              <w:rPr>
                <w:rFonts w:ascii="Arial" w:hAnsi="Arial" w:cs="Arial"/>
                <w:sz w:val="24"/>
                <w:szCs w:val="24"/>
                <w:lang w:eastAsia="en-GB"/>
              </w:rPr>
              <w:t xml:space="preserve">Projects that are </w:t>
            </w:r>
            <w:r w:rsidR="009536D8" w:rsidRPr="0098602B">
              <w:rPr>
                <w:rFonts w:ascii="Arial" w:hAnsi="Arial" w:cs="Arial"/>
                <w:sz w:val="24"/>
                <w:szCs w:val="24"/>
                <w:lang w:eastAsia="en-GB"/>
              </w:rPr>
              <w:t xml:space="preserve">party </w:t>
            </w:r>
            <w:r w:rsidRPr="0098602B">
              <w:rPr>
                <w:rFonts w:ascii="Arial" w:hAnsi="Arial" w:cs="Arial"/>
                <w:sz w:val="24"/>
                <w:szCs w:val="24"/>
                <w:lang w:eastAsia="en-GB"/>
              </w:rPr>
              <w:t>political in nature</w:t>
            </w:r>
          </w:p>
          <w:p w14:paraId="6FCE19EC" w14:textId="7B116356" w:rsidR="00320F56" w:rsidRPr="0098602B" w:rsidRDefault="00320F56" w:rsidP="004D4870">
            <w:pPr>
              <w:pStyle w:val="ListParagraph"/>
              <w:numPr>
                <w:ilvl w:val="0"/>
                <w:numId w:val="27"/>
              </w:numPr>
              <w:spacing w:before="120" w:after="120"/>
              <w:rPr>
                <w:rFonts w:ascii="Arial" w:hAnsi="Arial" w:cs="Arial"/>
                <w:sz w:val="24"/>
                <w:szCs w:val="24"/>
                <w:lang w:eastAsia="en-GB"/>
              </w:rPr>
            </w:pPr>
            <w:r w:rsidRPr="0098602B">
              <w:rPr>
                <w:rFonts w:ascii="Arial" w:hAnsi="Arial" w:cs="Arial"/>
                <w:sz w:val="24"/>
                <w:szCs w:val="24"/>
                <w:lang w:eastAsia="en-GB"/>
              </w:rPr>
              <w:t>Projects that conflict with the statutory functions or values of the Council</w:t>
            </w:r>
          </w:p>
          <w:p w14:paraId="54605B30" w14:textId="3276A726" w:rsidR="007C6291" w:rsidRPr="0098602B" w:rsidRDefault="00320F56" w:rsidP="004D4870">
            <w:pPr>
              <w:pStyle w:val="ListParagraph"/>
              <w:numPr>
                <w:ilvl w:val="0"/>
                <w:numId w:val="27"/>
              </w:numPr>
              <w:spacing w:before="120" w:after="120"/>
              <w:rPr>
                <w:rFonts w:ascii="Arial" w:hAnsi="Arial" w:cs="Arial"/>
                <w:lang w:eastAsia="en-GB"/>
              </w:rPr>
            </w:pPr>
            <w:r w:rsidRPr="0098602B">
              <w:rPr>
                <w:rFonts w:ascii="Arial" w:hAnsi="Arial" w:cs="Arial"/>
                <w:sz w:val="24"/>
                <w:szCs w:val="24"/>
                <w:lang w:eastAsia="en-GB"/>
              </w:rPr>
              <w:t>Projects that conflict with a Council decision or proposed</w:t>
            </w:r>
            <w:r w:rsidR="005F75A9" w:rsidRPr="0098602B">
              <w:rPr>
                <w:rFonts w:ascii="Arial" w:hAnsi="Arial" w:cs="Arial"/>
                <w:sz w:val="24"/>
                <w:szCs w:val="24"/>
                <w:lang w:eastAsia="en-GB"/>
              </w:rPr>
              <w:t xml:space="preserve"> course of action (e.g. to lobby against a planning application)</w:t>
            </w:r>
          </w:p>
          <w:p w14:paraId="5CF8C405" w14:textId="092ADB7E" w:rsidR="00B92D74" w:rsidRPr="0098602B" w:rsidRDefault="004E6C84" w:rsidP="004D4870">
            <w:pPr>
              <w:pStyle w:val="ListParagraph"/>
              <w:numPr>
                <w:ilvl w:val="0"/>
                <w:numId w:val="27"/>
              </w:numPr>
              <w:spacing w:before="120" w:after="120"/>
              <w:rPr>
                <w:u w:val="single"/>
                <w:lang w:eastAsia="en-GB"/>
              </w:rPr>
            </w:pPr>
            <w:r w:rsidRPr="0098602B">
              <w:rPr>
                <w:rFonts w:ascii="Arial" w:hAnsi="Arial" w:cs="Arial"/>
                <w:sz w:val="24"/>
                <w:szCs w:val="24"/>
                <w:u w:val="single"/>
                <w:lang w:eastAsia="en-GB"/>
              </w:rPr>
              <w:t>Projects that would only benefit an individual</w:t>
            </w:r>
            <w:r w:rsidR="00986677" w:rsidRPr="0098602B">
              <w:rPr>
                <w:rFonts w:ascii="Arial" w:hAnsi="Arial" w:cs="Arial"/>
                <w:sz w:val="24"/>
                <w:szCs w:val="24"/>
                <w:u w:val="single"/>
                <w:lang w:eastAsia="en-GB"/>
              </w:rPr>
              <w:t xml:space="preserve"> personally</w:t>
            </w:r>
            <w:r w:rsidR="007F45D0" w:rsidRPr="0098602B">
              <w:rPr>
                <w:rFonts w:ascii="Arial" w:hAnsi="Arial" w:cs="Arial"/>
                <w:sz w:val="24"/>
                <w:szCs w:val="24"/>
                <w:u w:val="single"/>
                <w:lang w:eastAsia="en-GB"/>
              </w:rPr>
              <w:t xml:space="preserve"> without serving a wider community</w:t>
            </w:r>
            <w:r w:rsidR="002026D4" w:rsidRPr="0098602B">
              <w:rPr>
                <w:rFonts w:ascii="Arial" w:hAnsi="Arial" w:cs="Arial"/>
                <w:sz w:val="24"/>
                <w:szCs w:val="24"/>
                <w:u w:val="single"/>
                <w:lang w:eastAsia="en-GB"/>
              </w:rPr>
              <w:t xml:space="preserve"> interest.</w:t>
            </w:r>
          </w:p>
        </w:tc>
      </w:tr>
      <w:tr w:rsidR="0098602B" w:rsidRPr="0098602B" w14:paraId="6395D1D8" w14:textId="77777777" w:rsidTr="00F3216D">
        <w:trPr>
          <w:trHeight w:val="575"/>
        </w:trPr>
        <w:tc>
          <w:tcPr>
            <w:tcW w:w="1162" w:type="dxa"/>
            <w:tcBorders>
              <w:top w:val="single" w:sz="4" w:space="0" w:color="auto"/>
            </w:tcBorders>
            <w:shd w:val="clear" w:color="auto" w:fill="FFFFFF" w:themeFill="background1"/>
            <w:vAlign w:val="center"/>
          </w:tcPr>
          <w:p w14:paraId="2AD01D7F" w14:textId="1F251C22" w:rsidR="003939F9" w:rsidRPr="0098602B" w:rsidRDefault="00646ADF" w:rsidP="003939F9">
            <w:pPr>
              <w:jc w:val="center"/>
              <w:rPr>
                <w:bCs/>
              </w:rPr>
            </w:pPr>
            <w:r w:rsidRPr="0098602B">
              <w:rPr>
                <w:bCs/>
              </w:rPr>
              <w:t>4</w:t>
            </w:r>
            <w:r w:rsidR="001A31C6">
              <w:rPr>
                <w:bCs/>
              </w:rPr>
              <w:t>.9</w:t>
            </w:r>
          </w:p>
        </w:tc>
        <w:tc>
          <w:tcPr>
            <w:tcW w:w="6521" w:type="dxa"/>
            <w:shd w:val="clear" w:color="auto" w:fill="FFFFFF" w:themeFill="background1"/>
          </w:tcPr>
          <w:p w14:paraId="1D2ACAAF" w14:textId="77777777" w:rsidR="00DC1048" w:rsidRPr="0098602B" w:rsidRDefault="00DC1048">
            <w:pPr>
              <w:spacing w:before="120" w:after="120"/>
              <w:rPr>
                <w:b/>
              </w:rPr>
            </w:pPr>
            <w:r w:rsidRPr="0098602B">
              <w:rPr>
                <w:b/>
              </w:rPr>
              <w:t xml:space="preserve">Enforcement of CIL regulations </w:t>
            </w:r>
          </w:p>
          <w:p w14:paraId="0DAE4C81" w14:textId="77777777" w:rsidR="00DC1048" w:rsidRPr="0098602B" w:rsidRDefault="00DC1048">
            <w:pPr>
              <w:spacing w:before="120" w:after="120"/>
            </w:pPr>
            <w:r w:rsidRPr="0098602B">
              <w:t>To include responsibility for the enforcement and prosecution powers under the Community Infrastructure Levy (CIL) Regulations.</w:t>
            </w:r>
          </w:p>
          <w:p w14:paraId="0D084897" w14:textId="01591EEA" w:rsidR="003939F9" w:rsidRPr="00A558D1" w:rsidRDefault="00DC1048">
            <w:pPr>
              <w:spacing w:before="120"/>
            </w:pPr>
            <w:r w:rsidRPr="0098602B">
              <w:rPr>
                <w:b/>
              </w:rPr>
              <w:t xml:space="preserve">Rationale: </w:t>
            </w:r>
            <w:r w:rsidRPr="0098602B">
              <w:t xml:space="preserve">To include a specific delegation for the executive functions under the CIL Regulations and to clarify responsibility. Executive functions that are not reserved to </w:t>
            </w:r>
            <w:r w:rsidRPr="0098602B">
              <w:lastRenderedPageBreak/>
              <w:t>Cabinet are delegated to the relevant officer within the senior management structure under Part 4.4 of the Constitution. As powers within the CIL Regulations relate to enforcement action it is proposed to include a specific delegation of responsibility to the Head of Planning Services within the Constitution. Powers under the CIL regulations include (but are not limited to) issuing CIL Stop Notices, which prohibit development from continuing until a payment is made.</w:t>
            </w:r>
          </w:p>
        </w:tc>
        <w:tc>
          <w:tcPr>
            <w:tcW w:w="1277" w:type="dxa"/>
            <w:shd w:val="clear" w:color="auto" w:fill="FFFFFF" w:themeFill="background1"/>
            <w:vAlign w:val="center"/>
          </w:tcPr>
          <w:p w14:paraId="11D57CDC" w14:textId="17FDFADF" w:rsidR="00DC1048" w:rsidRPr="0098602B" w:rsidRDefault="001A31C6" w:rsidP="00646ADF">
            <w:r>
              <w:lastRenderedPageBreak/>
              <w:t>4.10</w:t>
            </w:r>
          </w:p>
        </w:tc>
        <w:tc>
          <w:tcPr>
            <w:tcW w:w="6237" w:type="dxa"/>
            <w:shd w:val="clear" w:color="auto" w:fill="FFFFFF" w:themeFill="background1"/>
            <w:vAlign w:val="center"/>
          </w:tcPr>
          <w:p w14:paraId="0C5EC467" w14:textId="36C420E5" w:rsidR="00DC1048" w:rsidRPr="0098602B" w:rsidRDefault="00DC1048">
            <w:pPr>
              <w:rPr>
                <w:u w:val="single"/>
              </w:rPr>
            </w:pPr>
            <w:r w:rsidRPr="0098602B">
              <w:rPr>
                <w:u w:val="single"/>
              </w:rPr>
              <w:t>The Head of Planning Services will be responsible for the executive functions, not reserved to the Cabinet, in the Community Infrastructure Levy Regulations 2010.</w:t>
            </w:r>
          </w:p>
          <w:p w14:paraId="4623B9A5" w14:textId="3EEDC006" w:rsidR="00DC1048" w:rsidRPr="0098602B" w:rsidRDefault="00DC1048">
            <w:pPr>
              <w:spacing w:before="120" w:after="120"/>
              <w:rPr>
                <w:lang w:eastAsia="en-GB"/>
              </w:rPr>
            </w:pPr>
          </w:p>
        </w:tc>
      </w:tr>
      <w:tr w:rsidR="0098602B" w:rsidRPr="0098602B" w14:paraId="61A2CCEA" w14:textId="77777777" w:rsidTr="00F3216D">
        <w:trPr>
          <w:trHeight w:val="575"/>
        </w:trPr>
        <w:tc>
          <w:tcPr>
            <w:tcW w:w="1162" w:type="dxa"/>
            <w:shd w:val="clear" w:color="auto" w:fill="F2F2F2"/>
            <w:vAlign w:val="center"/>
          </w:tcPr>
          <w:p w14:paraId="5B33B0C6" w14:textId="77777777" w:rsidR="00801B08" w:rsidRPr="0098602B" w:rsidRDefault="00801B08" w:rsidP="00CD06DC">
            <w:pPr>
              <w:jc w:val="center"/>
              <w:rPr>
                <w:b/>
                <w:bCs/>
              </w:rPr>
            </w:pPr>
            <w:r w:rsidRPr="0098602B">
              <w:rPr>
                <w:b/>
                <w:bCs/>
              </w:rPr>
              <w:t>Part 5</w:t>
            </w:r>
          </w:p>
        </w:tc>
        <w:tc>
          <w:tcPr>
            <w:tcW w:w="14035" w:type="dxa"/>
            <w:gridSpan w:val="3"/>
            <w:shd w:val="clear" w:color="auto" w:fill="F2F2F2"/>
          </w:tcPr>
          <w:p w14:paraId="69118EDE" w14:textId="77777777" w:rsidR="00801B08" w:rsidRPr="0098602B" w:rsidRDefault="00801B08">
            <w:pPr>
              <w:spacing w:before="120"/>
              <w:rPr>
                <w:b/>
              </w:rPr>
            </w:pPr>
            <w:r w:rsidRPr="0098602B">
              <w:rPr>
                <w:b/>
              </w:rPr>
              <w:t>Who carries out Council responsibilities?</w:t>
            </w:r>
          </w:p>
        </w:tc>
      </w:tr>
      <w:tr w:rsidR="007A0232" w:rsidRPr="0098602B" w14:paraId="31A594CF" w14:textId="77777777" w:rsidTr="00F3216D">
        <w:trPr>
          <w:trHeight w:val="636"/>
        </w:trPr>
        <w:tc>
          <w:tcPr>
            <w:tcW w:w="1162" w:type="dxa"/>
            <w:tcBorders>
              <w:bottom w:val="single" w:sz="4" w:space="0" w:color="auto"/>
            </w:tcBorders>
            <w:shd w:val="clear" w:color="auto" w:fill="auto"/>
            <w:vAlign w:val="center"/>
          </w:tcPr>
          <w:p w14:paraId="788AABB7" w14:textId="156F120C" w:rsidR="007A0232" w:rsidRPr="0098602B" w:rsidRDefault="007A0232" w:rsidP="007A0232">
            <w:pPr>
              <w:jc w:val="center"/>
              <w:rPr>
                <w:sz w:val="23"/>
                <w:szCs w:val="23"/>
              </w:rPr>
            </w:pPr>
            <w:r>
              <w:rPr>
                <w:sz w:val="23"/>
                <w:szCs w:val="23"/>
              </w:rPr>
              <w:t>5.3</w:t>
            </w:r>
          </w:p>
        </w:tc>
        <w:tc>
          <w:tcPr>
            <w:tcW w:w="6521" w:type="dxa"/>
            <w:tcBorders>
              <w:bottom w:val="single" w:sz="4" w:space="0" w:color="auto"/>
            </w:tcBorders>
          </w:tcPr>
          <w:p w14:paraId="6114033D" w14:textId="77777777" w:rsidR="007A0232" w:rsidRPr="0018752F" w:rsidRDefault="007A0232" w:rsidP="007A0232">
            <w:pPr>
              <w:rPr>
                <w:b/>
                <w:bCs/>
                <w:kern w:val="32"/>
              </w:rPr>
            </w:pPr>
            <w:r w:rsidRPr="0018752F">
              <w:rPr>
                <w:b/>
                <w:bCs/>
                <w:kern w:val="32"/>
              </w:rPr>
              <w:t>Planning Functions</w:t>
            </w:r>
          </w:p>
          <w:p w14:paraId="57CD33CB" w14:textId="77777777" w:rsidR="007A0232" w:rsidRDefault="007A0232" w:rsidP="007A0232">
            <w:pPr>
              <w:rPr>
                <w:bCs/>
                <w:kern w:val="32"/>
                <w:highlight w:val="red"/>
              </w:rPr>
            </w:pPr>
          </w:p>
          <w:p w14:paraId="7648DD84" w14:textId="50CB5CDA" w:rsidR="007A0232" w:rsidRDefault="007A0232" w:rsidP="007A0232">
            <w:pPr>
              <w:rPr>
                <w:bCs/>
                <w:kern w:val="32"/>
              </w:rPr>
            </w:pPr>
            <w:r w:rsidRPr="005B4CCE">
              <w:rPr>
                <w:bCs/>
                <w:kern w:val="32"/>
              </w:rPr>
              <w:t xml:space="preserve">A change to the planning committee structure to merge the two area planning committees and to increase delegation levels has been included in the draft budget approved by Cabinet on 9 December 2020. </w:t>
            </w:r>
            <w:r w:rsidR="00A225A9" w:rsidRPr="00A225A9">
              <w:rPr>
                <w:bCs/>
                <w:kern w:val="32"/>
              </w:rPr>
              <w:t>This change would come into effect from May 2021.</w:t>
            </w:r>
          </w:p>
          <w:p w14:paraId="64670AEF" w14:textId="77777777" w:rsidR="007A0232" w:rsidRDefault="007A0232" w:rsidP="007A0232">
            <w:pPr>
              <w:rPr>
                <w:bCs/>
                <w:kern w:val="32"/>
              </w:rPr>
            </w:pPr>
          </w:p>
          <w:p w14:paraId="601B67EF" w14:textId="77777777" w:rsidR="007A0232" w:rsidRPr="0026537D" w:rsidRDefault="007A0232" w:rsidP="007A0232">
            <w:pPr>
              <w:rPr>
                <w:bCs/>
                <w:kern w:val="32"/>
              </w:rPr>
            </w:pPr>
            <w:r w:rsidRPr="0026537D">
              <w:rPr>
                <w:b/>
                <w:bCs/>
                <w:kern w:val="32"/>
              </w:rPr>
              <w:t>Rationale:</w:t>
            </w:r>
            <w:r>
              <w:rPr>
                <w:b/>
                <w:bCs/>
                <w:kern w:val="32"/>
              </w:rPr>
              <w:t xml:space="preserve"> </w:t>
            </w:r>
            <w:r>
              <w:rPr>
                <w:bCs/>
                <w:kern w:val="32"/>
              </w:rPr>
              <w:t>to provide a manageable workload for a single area planning committee it is proposed that non-major applications will be delegated to the Head of Planning Services.</w:t>
            </w:r>
          </w:p>
          <w:p w14:paraId="166F385C" w14:textId="77777777" w:rsidR="007A0232" w:rsidRDefault="007A0232" w:rsidP="007A0232">
            <w:pPr>
              <w:rPr>
                <w:bCs/>
                <w:kern w:val="32"/>
              </w:rPr>
            </w:pPr>
          </w:p>
          <w:p w14:paraId="7AEA85CC" w14:textId="77777777" w:rsidR="007A0232" w:rsidRPr="0098602B" w:rsidRDefault="007A0232" w:rsidP="00803D6D">
            <w:pPr>
              <w:rPr>
                <w:bCs/>
                <w:kern w:val="32"/>
              </w:rPr>
            </w:pPr>
          </w:p>
        </w:tc>
        <w:tc>
          <w:tcPr>
            <w:tcW w:w="1277" w:type="dxa"/>
            <w:tcBorders>
              <w:bottom w:val="single" w:sz="4" w:space="0" w:color="auto"/>
            </w:tcBorders>
            <w:shd w:val="clear" w:color="auto" w:fill="auto"/>
            <w:vAlign w:val="center"/>
          </w:tcPr>
          <w:p w14:paraId="121BE483" w14:textId="77777777" w:rsidR="007A0232" w:rsidRPr="0098602B" w:rsidRDefault="007A0232" w:rsidP="007A0232"/>
        </w:tc>
        <w:tc>
          <w:tcPr>
            <w:tcW w:w="6237" w:type="dxa"/>
            <w:tcBorders>
              <w:bottom w:val="single" w:sz="4" w:space="0" w:color="auto"/>
            </w:tcBorders>
            <w:shd w:val="clear" w:color="auto" w:fill="auto"/>
            <w:vAlign w:val="center"/>
          </w:tcPr>
          <w:p w14:paraId="491629BF" w14:textId="47F963E0" w:rsidR="007A0232" w:rsidRDefault="00A23B22" w:rsidP="007A0232">
            <w:pPr>
              <w:spacing w:after="120"/>
              <w:rPr>
                <w:bCs/>
                <w:lang w:eastAsia="en-GB"/>
              </w:rPr>
            </w:pPr>
            <w:r>
              <w:rPr>
                <w:rFonts w:cstheme="minorBidi"/>
              </w:rPr>
              <w:t>(b) Who carries out the responsibility?</w:t>
            </w:r>
          </w:p>
          <w:p w14:paraId="724C70CE" w14:textId="77777777" w:rsidR="007A0232" w:rsidRPr="00557DE6" w:rsidRDefault="007A0232" w:rsidP="007A0232">
            <w:pPr>
              <w:spacing w:after="120"/>
              <w:rPr>
                <w:bCs/>
                <w:lang w:eastAsia="en-GB"/>
              </w:rPr>
            </w:pPr>
            <w:r w:rsidRPr="00557DE6">
              <w:rPr>
                <w:bCs/>
                <w:lang w:eastAsia="en-GB"/>
              </w:rPr>
              <w:t>Council will be responsible for:</w:t>
            </w:r>
          </w:p>
          <w:p w14:paraId="799088AB" w14:textId="77777777" w:rsidR="007A0232" w:rsidRPr="00557DE6" w:rsidRDefault="007A0232" w:rsidP="007A0232">
            <w:pPr>
              <w:pStyle w:val="ListParagraph"/>
              <w:numPr>
                <w:ilvl w:val="0"/>
                <w:numId w:val="34"/>
              </w:numPr>
              <w:spacing w:after="120"/>
              <w:rPr>
                <w:rFonts w:ascii="Arial" w:hAnsi="Arial" w:cs="Arial"/>
                <w:bCs/>
                <w:sz w:val="24"/>
                <w:szCs w:val="24"/>
                <w:lang w:eastAsia="en-GB"/>
              </w:rPr>
            </w:pPr>
            <w:r w:rsidRPr="00557DE6">
              <w:rPr>
                <w:rFonts w:ascii="Arial" w:hAnsi="Arial" w:cs="Arial"/>
                <w:bCs/>
                <w:sz w:val="24"/>
                <w:szCs w:val="24"/>
                <w:lang w:eastAsia="en-GB"/>
              </w:rPr>
              <w:t>Development plan documents</w:t>
            </w:r>
          </w:p>
          <w:p w14:paraId="38D7EF73" w14:textId="77777777" w:rsidR="007A0232" w:rsidRPr="00557DE6" w:rsidRDefault="007A0232" w:rsidP="007A0232">
            <w:pPr>
              <w:pStyle w:val="ListParagraph"/>
              <w:numPr>
                <w:ilvl w:val="0"/>
                <w:numId w:val="34"/>
              </w:numPr>
              <w:spacing w:after="120"/>
              <w:rPr>
                <w:rFonts w:ascii="Arial" w:hAnsi="Arial" w:cs="Arial"/>
                <w:bCs/>
                <w:sz w:val="24"/>
                <w:szCs w:val="24"/>
                <w:lang w:eastAsia="en-GB"/>
              </w:rPr>
            </w:pPr>
            <w:r w:rsidRPr="00557DE6">
              <w:rPr>
                <w:rFonts w:ascii="Arial" w:hAnsi="Arial" w:cs="Arial"/>
                <w:bCs/>
                <w:sz w:val="24"/>
                <w:szCs w:val="24"/>
                <w:lang w:eastAsia="en-GB"/>
              </w:rPr>
              <w:t>Making a neighbourhood plan</w:t>
            </w:r>
          </w:p>
          <w:p w14:paraId="4F09D4D6" w14:textId="77777777" w:rsidR="007A0232" w:rsidRPr="00557DE6" w:rsidRDefault="007A0232" w:rsidP="007A0232">
            <w:pPr>
              <w:spacing w:after="120"/>
              <w:rPr>
                <w:bCs/>
                <w:lang w:eastAsia="en-GB"/>
              </w:rPr>
            </w:pPr>
            <w:r w:rsidRPr="0023383F">
              <w:rPr>
                <w:bCs/>
                <w:strike/>
                <w:lang w:eastAsia="en-GB"/>
              </w:rPr>
              <w:t xml:space="preserve">Area </w:t>
            </w:r>
            <w:r w:rsidRPr="0023383F">
              <w:rPr>
                <w:bCs/>
                <w:u w:val="single"/>
                <w:lang w:eastAsia="en-GB"/>
              </w:rPr>
              <w:t>The Oxford City</w:t>
            </w:r>
            <w:r w:rsidRPr="0023383F">
              <w:rPr>
                <w:bCs/>
                <w:lang w:eastAsia="en-GB"/>
              </w:rPr>
              <w:t xml:space="preserve"> </w:t>
            </w:r>
            <w:r w:rsidRPr="0023383F">
              <w:rPr>
                <w:bCs/>
                <w:u w:val="single"/>
                <w:lang w:eastAsia="en-GB"/>
              </w:rPr>
              <w:t>P</w:t>
            </w:r>
            <w:r w:rsidRPr="0023383F">
              <w:rPr>
                <w:bCs/>
                <w:lang w:eastAsia="en-GB"/>
              </w:rPr>
              <w:t xml:space="preserve">lanning </w:t>
            </w:r>
            <w:r w:rsidRPr="0023383F">
              <w:rPr>
                <w:bCs/>
                <w:u w:val="single"/>
                <w:lang w:eastAsia="en-GB"/>
              </w:rPr>
              <w:t>C</w:t>
            </w:r>
            <w:r w:rsidRPr="0023383F">
              <w:rPr>
                <w:bCs/>
                <w:lang w:eastAsia="en-GB"/>
              </w:rPr>
              <w:t>ommittee</w:t>
            </w:r>
            <w:r w:rsidRPr="0023383F">
              <w:rPr>
                <w:bCs/>
                <w:strike/>
                <w:lang w:eastAsia="en-GB"/>
              </w:rPr>
              <w:t>s</w:t>
            </w:r>
            <w:r w:rsidRPr="00557DE6">
              <w:rPr>
                <w:bCs/>
                <w:lang w:eastAsia="en-GB"/>
              </w:rPr>
              <w:t xml:space="preserve"> will be responsible for:</w:t>
            </w:r>
          </w:p>
          <w:p w14:paraId="4736E936" w14:textId="77777777" w:rsidR="007A0232" w:rsidRPr="00557DE6" w:rsidRDefault="007A0232" w:rsidP="007A0232">
            <w:pPr>
              <w:pStyle w:val="ListParagraph"/>
              <w:numPr>
                <w:ilvl w:val="0"/>
                <w:numId w:val="34"/>
              </w:numPr>
              <w:spacing w:after="120"/>
              <w:rPr>
                <w:rFonts w:ascii="Arial" w:hAnsi="Arial" w:cs="Arial"/>
                <w:bCs/>
                <w:sz w:val="24"/>
                <w:szCs w:val="24"/>
                <w:lang w:eastAsia="en-GB"/>
              </w:rPr>
            </w:pPr>
            <w:r w:rsidRPr="00557DE6">
              <w:rPr>
                <w:rFonts w:ascii="Arial" w:hAnsi="Arial" w:cs="Arial"/>
                <w:bCs/>
                <w:sz w:val="24"/>
                <w:szCs w:val="24"/>
                <w:lang w:eastAsia="en-GB"/>
              </w:rPr>
              <w:t xml:space="preserve">deciding planning applications for more than </w:t>
            </w:r>
            <w:r w:rsidRPr="008454FE">
              <w:rPr>
                <w:rFonts w:ascii="Arial" w:hAnsi="Arial" w:cs="Arial"/>
                <w:bCs/>
                <w:strike/>
                <w:sz w:val="24"/>
                <w:szCs w:val="24"/>
                <w:lang w:eastAsia="en-GB"/>
              </w:rPr>
              <w:t xml:space="preserve">5 </w:t>
            </w:r>
            <w:r w:rsidRPr="008454FE">
              <w:rPr>
                <w:rFonts w:ascii="Arial" w:hAnsi="Arial" w:cs="Arial"/>
                <w:bCs/>
                <w:sz w:val="24"/>
                <w:szCs w:val="24"/>
                <w:u w:val="single"/>
                <w:lang w:eastAsia="en-GB"/>
              </w:rPr>
              <w:t>10</w:t>
            </w:r>
            <w:r w:rsidRPr="00557DE6">
              <w:rPr>
                <w:rFonts w:ascii="Arial" w:hAnsi="Arial" w:cs="Arial"/>
                <w:bCs/>
                <w:sz w:val="24"/>
                <w:szCs w:val="24"/>
                <w:lang w:eastAsia="en-GB"/>
              </w:rPr>
              <w:t xml:space="preserve"> residential units or for</w:t>
            </w:r>
            <w:r>
              <w:rPr>
                <w:rFonts w:ascii="Arial" w:hAnsi="Arial" w:cs="Arial"/>
                <w:bCs/>
                <w:sz w:val="24"/>
                <w:szCs w:val="24"/>
                <w:lang w:eastAsia="en-GB"/>
              </w:rPr>
              <w:t xml:space="preserve"> </w:t>
            </w:r>
            <w:r w:rsidRPr="00557DE6">
              <w:rPr>
                <w:rFonts w:ascii="Arial" w:hAnsi="Arial" w:cs="Arial"/>
                <w:bCs/>
                <w:sz w:val="24"/>
                <w:szCs w:val="24"/>
                <w:lang w:eastAsia="en-GB"/>
              </w:rPr>
              <w:t xml:space="preserve">residential developments on sites with a site area of over </w:t>
            </w:r>
            <w:r w:rsidRPr="008454FE">
              <w:rPr>
                <w:rFonts w:ascii="Arial" w:hAnsi="Arial" w:cs="Arial"/>
                <w:bCs/>
                <w:strike/>
                <w:sz w:val="24"/>
                <w:szCs w:val="24"/>
                <w:lang w:eastAsia="en-GB"/>
              </w:rPr>
              <w:t>0.25</w:t>
            </w:r>
            <w:r>
              <w:rPr>
                <w:rFonts w:ascii="Arial" w:hAnsi="Arial" w:cs="Arial"/>
                <w:bCs/>
                <w:sz w:val="24"/>
                <w:szCs w:val="24"/>
                <w:lang w:eastAsia="en-GB"/>
              </w:rPr>
              <w:t xml:space="preserve"> </w:t>
            </w:r>
            <w:r w:rsidRPr="008454FE">
              <w:rPr>
                <w:rFonts w:ascii="Arial" w:hAnsi="Arial" w:cs="Arial"/>
                <w:bCs/>
                <w:sz w:val="24"/>
                <w:szCs w:val="24"/>
                <w:u w:val="single"/>
                <w:lang w:eastAsia="en-GB"/>
              </w:rPr>
              <w:t>0.5</w:t>
            </w:r>
            <w:r w:rsidRPr="00557DE6">
              <w:rPr>
                <w:rFonts w:ascii="Arial" w:hAnsi="Arial" w:cs="Arial"/>
                <w:bCs/>
                <w:sz w:val="24"/>
                <w:szCs w:val="24"/>
                <w:lang w:eastAsia="en-GB"/>
              </w:rPr>
              <w:t xml:space="preserve"> hectares</w:t>
            </w:r>
          </w:p>
          <w:p w14:paraId="209DA3CC" w14:textId="77777777" w:rsidR="007A0232" w:rsidRPr="00557DE6" w:rsidRDefault="007A0232" w:rsidP="007A0232">
            <w:pPr>
              <w:pStyle w:val="ListParagraph"/>
              <w:numPr>
                <w:ilvl w:val="0"/>
                <w:numId w:val="34"/>
              </w:numPr>
              <w:spacing w:after="120"/>
              <w:rPr>
                <w:rFonts w:ascii="Arial" w:hAnsi="Arial" w:cs="Arial"/>
                <w:bCs/>
                <w:sz w:val="24"/>
                <w:szCs w:val="24"/>
                <w:lang w:eastAsia="en-GB"/>
              </w:rPr>
            </w:pPr>
            <w:r w:rsidRPr="00557DE6">
              <w:rPr>
                <w:rFonts w:ascii="Arial" w:hAnsi="Arial" w:cs="Arial"/>
                <w:bCs/>
                <w:sz w:val="24"/>
                <w:szCs w:val="24"/>
                <w:lang w:eastAsia="en-GB"/>
              </w:rPr>
              <w:t>deciding planning applications for non-residential developments on sites</w:t>
            </w:r>
            <w:r>
              <w:rPr>
                <w:rFonts w:ascii="Arial" w:hAnsi="Arial" w:cs="Arial"/>
                <w:bCs/>
                <w:sz w:val="24"/>
                <w:szCs w:val="24"/>
                <w:lang w:eastAsia="en-GB"/>
              </w:rPr>
              <w:t xml:space="preserve"> </w:t>
            </w:r>
            <w:r w:rsidRPr="00557DE6">
              <w:rPr>
                <w:rFonts w:ascii="Arial" w:hAnsi="Arial" w:cs="Arial"/>
                <w:bCs/>
                <w:sz w:val="24"/>
                <w:szCs w:val="24"/>
                <w:lang w:eastAsia="en-GB"/>
              </w:rPr>
              <w:t>over 1 hectares</w:t>
            </w:r>
          </w:p>
          <w:p w14:paraId="5AA18128" w14:textId="77777777" w:rsidR="007A0232" w:rsidRPr="00557DE6" w:rsidRDefault="007A0232" w:rsidP="007A0232">
            <w:pPr>
              <w:pStyle w:val="ListParagraph"/>
              <w:numPr>
                <w:ilvl w:val="0"/>
                <w:numId w:val="34"/>
              </w:numPr>
              <w:spacing w:after="120"/>
              <w:rPr>
                <w:rFonts w:ascii="Arial" w:hAnsi="Arial" w:cs="Arial"/>
                <w:bCs/>
                <w:sz w:val="24"/>
                <w:szCs w:val="24"/>
                <w:lang w:eastAsia="en-GB"/>
              </w:rPr>
            </w:pPr>
            <w:r w:rsidRPr="00557DE6">
              <w:rPr>
                <w:rFonts w:ascii="Arial" w:hAnsi="Arial" w:cs="Arial"/>
                <w:bCs/>
                <w:sz w:val="24"/>
                <w:szCs w:val="24"/>
                <w:lang w:eastAsia="en-GB"/>
              </w:rPr>
              <w:t>deciding planning applications for non-residential developments with new</w:t>
            </w:r>
            <w:r>
              <w:rPr>
                <w:rFonts w:ascii="Arial" w:hAnsi="Arial" w:cs="Arial"/>
                <w:bCs/>
                <w:sz w:val="24"/>
                <w:szCs w:val="24"/>
                <w:lang w:eastAsia="en-GB"/>
              </w:rPr>
              <w:t xml:space="preserve"> </w:t>
            </w:r>
            <w:r w:rsidRPr="00557DE6">
              <w:rPr>
                <w:rFonts w:ascii="Arial" w:hAnsi="Arial" w:cs="Arial"/>
                <w:bCs/>
                <w:sz w:val="24"/>
                <w:szCs w:val="24"/>
                <w:lang w:eastAsia="en-GB"/>
              </w:rPr>
              <w:t>or increased floor space of more than 1,000m2</w:t>
            </w:r>
          </w:p>
          <w:p w14:paraId="00E4B048" w14:textId="77777777" w:rsidR="007A0232" w:rsidRPr="00557DE6" w:rsidRDefault="007A0232" w:rsidP="007A0232">
            <w:pPr>
              <w:pStyle w:val="ListParagraph"/>
              <w:numPr>
                <w:ilvl w:val="0"/>
                <w:numId w:val="34"/>
              </w:numPr>
              <w:spacing w:after="120"/>
              <w:rPr>
                <w:rFonts w:ascii="Arial" w:hAnsi="Arial" w:cs="Arial"/>
                <w:bCs/>
                <w:sz w:val="24"/>
                <w:szCs w:val="24"/>
                <w:lang w:eastAsia="en-GB"/>
              </w:rPr>
            </w:pPr>
            <w:r w:rsidRPr="00557DE6">
              <w:rPr>
                <w:rFonts w:ascii="Arial" w:hAnsi="Arial" w:cs="Arial"/>
                <w:bCs/>
                <w:sz w:val="24"/>
                <w:szCs w:val="24"/>
                <w:lang w:eastAsia="en-GB"/>
              </w:rPr>
              <w:t>deciding planning applications made by or on behalf of councillors or</w:t>
            </w:r>
            <w:r>
              <w:rPr>
                <w:rFonts w:ascii="Arial" w:hAnsi="Arial" w:cs="Arial"/>
                <w:bCs/>
                <w:sz w:val="24"/>
                <w:szCs w:val="24"/>
                <w:lang w:eastAsia="en-GB"/>
              </w:rPr>
              <w:t xml:space="preserve"> </w:t>
            </w:r>
            <w:r w:rsidRPr="00557DE6">
              <w:rPr>
                <w:rFonts w:ascii="Arial" w:hAnsi="Arial" w:cs="Arial"/>
                <w:bCs/>
                <w:sz w:val="24"/>
                <w:szCs w:val="24"/>
                <w:lang w:eastAsia="en-GB"/>
              </w:rPr>
              <w:t>officers</w:t>
            </w:r>
          </w:p>
          <w:p w14:paraId="604B57FA" w14:textId="77777777" w:rsidR="007A0232" w:rsidRPr="00557DE6" w:rsidRDefault="007A0232" w:rsidP="007A0232">
            <w:pPr>
              <w:pStyle w:val="ListParagraph"/>
              <w:numPr>
                <w:ilvl w:val="0"/>
                <w:numId w:val="34"/>
              </w:numPr>
              <w:spacing w:after="120"/>
              <w:rPr>
                <w:rFonts w:ascii="Arial" w:hAnsi="Arial" w:cs="Arial"/>
                <w:bCs/>
                <w:sz w:val="24"/>
                <w:szCs w:val="24"/>
                <w:lang w:eastAsia="en-GB"/>
              </w:rPr>
            </w:pPr>
            <w:r w:rsidRPr="008454FE">
              <w:rPr>
                <w:rFonts w:ascii="Arial" w:hAnsi="Arial" w:cs="Arial"/>
                <w:bCs/>
                <w:sz w:val="24"/>
                <w:szCs w:val="24"/>
                <w:lang w:eastAsia="en-GB"/>
              </w:rPr>
              <w:t>deciding planning applications that would otherwise be decided by officers</w:t>
            </w:r>
            <w:r>
              <w:rPr>
                <w:rFonts w:ascii="Arial" w:hAnsi="Arial" w:cs="Arial"/>
                <w:bCs/>
                <w:sz w:val="24"/>
                <w:szCs w:val="24"/>
                <w:lang w:eastAsia="en-GB"/>
              </w:rPr>
              <w:t xml:space="preserve"> </w:t>
            </w:r>
            <w:r w:rsidRPr="00557DE6">
              <w:rPr>
                <w:rFonts w:ascii="Arial" w:hAnsi="Arial" w:cs="Arial"/>
                <w:bCs/>
                <w:sz w:val="24"/>
                <w:szCs w:val="24"/>
                <w:lang w:eastAsia="en-GB"/>
              </w:rPr>
              <w:t>that have been called in by councillors during the initial 21-day</w:t>
            </w:r>
            <w:r>
              <w:rPr>
                <w:rFonts w:ascii="Arial" w:hAnsi="Arial" w:cs="Arial"/>
                <w:bCs/>
                <w:sz w:val="24"/>
                <w:szCs w:val="24"/>
                <w:lang w:eastAsia="en-GB"/>
              </w:rPr>
              <w:t xml:space="preserve"> </w:t>
            </w:r>
            <w:r w:rsidRPr="00557DE6">
              <w:rPr>
                <w:rFonts w:ascii="Arial" w:hAnsi="Arial" w:cs="Arial"/>
                <w:bCs/>
                <w:sz w:val="24"/>
                <w:szCs w:val="24"/>
                <w:lang w:eastAsia="en-GB"/>
              </w:rPr>
              <w:t>consultation period or during subsequent periods of consultation resulting from a significant change to material planning considerations (Part 17.3)</w:t>
            </w:r>
          </w:p>
          <w:p w14:paraId="457AF6E6" w14:textId="77777777" w:rsidR="007A0232" w:rsidRPr="008454FE" w:rsidRDefault="007A0232" w:rsidP="007A0232">
            <w:pPr>
              <w:pStyle w:val="ListParagraph"/>
              <w:numPr>
                <w:ilvl w:val="0"/>
                <w:numId w:val="34"/>
              </w:numPr>
              <w:spacing w:after="120"/>
              <w:rPr>
                <w:rFonts w:ascii="Arial" w:hAnsi="Arial" w:cs="Arial"/>
                <w:bCs/>
                <w:strike/>
                <w:sz w:val="24"/>
                <w:szCs w:val="24"/>
                <w:lang w:eastAsia="en-GB"/>
              </w:rPr>
            </w:pPr>
            <w:r w:rsidRPr="008454FE">
              <w:rPr>
                <w:rFonts w:ascii="Arial" w:hAnsi="Arial" w:cs="Arial"/>
                <w:bCs/>
                <w:strike/>
                <w:sz w:val="24"/>
                <w:szCs w:val="24"/>
                <w:lang w:eastAsia="en-GB"/>
              </w:rPr>
              <w:t>agreeing significant amendments to approved plans subsequent to the grant of planning permission or listed building consent</w:t>
            </w:r>
          </w:p>
          <w:p w14:paraId="195EBC22" w14:textId="77777777" w:rsidR="007A0232" w:rsidRPr="00557DE6" w:rsidRDefault="007A0232" w:rsidP="007A0232">
            <w:pPr>
              <w:pStyle w:val="ListParagraph"/>
              <w:numPr>
                <w:ilvl w:val="0"/>
                <w:numId w:val="34"/>
              </w:numPr>
              <w:spacing w:after="120"/>
              <w:rPr>
                <w:rFonts w:ascii="Arial" w:hAnsi="Arial" w:cs="Arial"/>
                <w:bCs/>
                <w:sz w:val="24"/>
                <w:szCs w:val="24"/>
                <w:lang w:eastAsia="en-GB"/>
              </w:rPr>
            </w:pPr>
            <w:r w:rsidRPr="008C5A1D">
              <w:rPr>
                <w:rFonts w:ascii="Arial" w:hAnsi="Arial" w:cs="Arial"/>
                <w:bCs/>
                <w:sz w:val="24"/>
                <w:szCs w:val="24"/>
                <w:lang w:eastAsia="en-GB"/>
              </w:rPr>
              <w:t>deciding listed building consent applications for total or substantial</w:t>
            </w:r>
            <w:r>
              <w:rPr>
                <w:rFonts w:ascii="Arial" w:hAnsi="Arial" w:cs="Arial"/>
                <w:bCs/>
                <w:sz w:val="24"/>
                <w:szCs w:val="24"/>
                <w:lang w:eastAsia="en-GB"/>
              </w:rPr>
              <w:t xml:space="preserve"> </w:t>
            </w:r>
            <w:r w:rsidRPr="00557DE6">
              <w:rPr>
                <w:rFonts w:ascii="Arial" w:hAnsi="Arial" w:cs="Arial"/>
                <w:bCs/>
                <w:sz w:val="24"/>
                <w:szCs w:val="24"/>
                <w:lang w:eastAsia="en-GB"/>
              </w:rPr>
              <w:t>demolition of listed buildings</w:t>
            </w:r>
          </w:p>
          <w:p w14:paraId="62643160" w14:textId="77777777" w:rsidR="007A0232" w:rsidRPr="00557DE6" w:rsidRDefault="007A0232" w:rsidP="007A0232">
            <w:pPr>
              <w:pStyle w:val="ListParagraph"/>
              <w:numPr>
                <w:ilvl w:val="0"/>
                <w:numId w:val="34"/>
              </w:numPr>
              <w:spacing w:after="120"/>
              <w:rPr>
                <w:rFonts w:ascii="Arial" w:hAnsi="Arial" w:cs="Arial"/>
                <w:bCs/>
                <w:sz w:val="24"/>
                <w:szCs w:val="24"/>
                <w:lang w:eastAsia="en-GB"/>
              </w:rPr>
            </w:pPr>
            <w:r w:rsidRPr="008454FE">
              <w:rPr>
                <w:rFonts w:ascii="Arial" w:hAnsi="Arial" w:cs="Arial"/>
                <w:bCs/>
                <w:sz w:val="24"/>
                <w:szCs w:val="24"/>
                <w:lang w:eastAsia="en-GB"/>
              </w:rPr>
              <w:t>deciding planning applications or applications under condition for phone</w:t>
            </w:r>
            <w:r>
              <w:rPr>
                <w:rFonts w:ascii="Arial" w:hAnsi="Arial" w:cs="Arial"/>
                <w:bCs/>
                <w:sz w:val="24"/>
                <w:szCs w:val="24"/>
                <w:lang w:eastAsia="en-GB"/>
              </w:rPr>
              <w:t xml:space="preserve"> </w:t>
            </w:r>
            <w:r w:rsidRPr="00557DE6">
              <w:rPr>
                <w:rFonts w:ascii="Arial" w:hAnsi="Arial" w:cs="Arial"/>
                <w:bCs/>
                <w:sz w:val="24"/>
                <w:szCs w:val="24"/>
                <w:lang w:eastAsia="en-GB"/>
              </w:rPr>
              <w:t>masts where there are objections (except applications that can go ahead,</w:t>
            </w:r>
            <w:r>
              <w:rPr>
                <w:rFonts w:ascii="Arial" w:hAnsi="Arial" w:cs="Arial"/>
                <w:bCs/>
                <w:sz w:val="24"/>
                <w:szCs w:val="24"/>
                <w:lang w:eastAsia="en-GB"/>
              </w:rPr>
              <w:t xml:space="preserve"> </w:t>
            </w:r>
            <w:r w:rsidRPr="00557DE6">
              <w:rPr>
                <w:rFonts w:ascii="Arial" w:hAnsi="Arial" w:cs="Arial"/>
                <w:bCs/>
                <w:sz w:val="24"/>
                <w:szCs w:val="24"/>
                <w:lang w:eastAsia="en-GB"/>
              </w:rPr>
              <w:t>unless the Council refuses them within 56 days)</w:t>
            </w:r>
          </w:p>
          <w:p w14:paraId="38C72597" w14:textId="77777777" w:rsidR="007A0232" w:rsidRPr="008454FE" w:rsidRDefault="007A0232" w:rsidP="007A0232">
            <w:pPr>
              <w:pStyle w:val="ListParagraph"/>
              <w:numPr>
                <w:ilvl w:val="0"/>
                <w:numId w:val="34"/>
              </w:numPr>
              <w:spacing w:after="120"/>
              <w:rPr>
                <w:rFonts w:ascii="Arial" w:hAnsi="Arial" w:cs="Arial"/>
                <w:bCs/>
                <w:strike/>
                <w:sz w:val="24"/>
                <w:szCs w:val="24"/>
                <w:lang w:eastAsia="en-GB"/>
              </w:rPr>
            </w:pPr>
            <w:r w:rsidRPr="008454FE">
              <w:rPr>
                <w:rFonts w:ascii="Arial" w:hAnsi="Arial" w:cs="Arial"/>
                <w:bCs/>
                <w:strike/>
                <w:sz w:val="24"/>
                <w:szCs w:val="24"/>
                <w:lang w:eastAsia="en-GB"/>
              </w:rPr>
              <w:t>confirming and revoking tree preservation orders when there are objections</w:t>
            </w:r>
          </w:p>
          <w:p w14:paraId="4C695501" w14:textId="77777777" w:rsidR="007A0232" w:rsidRPr="007A0232" w:rsidRDefault="007A0232" w:rsidP="007A0232">
            <w:pPr>
              <w:pStyle w:val="ListParagraph"/>
              <w:numPr>
                <w:ilvl w:val="0"/>
                <w:numId w:val="34"/>
              </w:numPr>
              <w:spacing w:after="120"/>
              <w:rPr>
                <w:rFonts w:ascii="Arial Bold,Bold" w:hAnsi="Arial Bold,Bold" w:cs="Arial Bold,Bold"/>
                <w:b/>
                <w:bCs/>
                <w:lang w:eastAsia="en-GB"/>
              </w:rPr>
            </w:pPr>
            <w:r w:rsidRPr="008454FE">
              <w:rPr>
                <w:rFonts w:ascii="Arial" w:hAnsi="Arial" w:cs="Arial"/>
                <w:bCs/>
                <w:sz w:val="24"/>
                <w:szCs w:val="24"/>
                <w:lang w:eastAsia="en-GB"/>
              </w:rPr>
              <w:lastRenderedPageBreak/>
              <w:t>dealing with complaints about high hedges when the hedge is on the</w:t>
            </w:r>
            <w:r>
              <w:rPr>
                <w:rFonts w:ascii="Arial" w:hAnsi="Arial" w:cs="Arial"/>
                <w:bCs/>
                <w:sz w:val="24"/>
                <w:szCs w:val="24"/>
                <w:lang w:eastAsia="en-GB"/>
              </w:rPr>
              <w:t xml:space="preserve"> </w:t>
            </w:r>
            <w:r w:rsidRPr="00557DE6">
              <w:rPr>
                <w:rFonts w:ascii="Arial" w:hAnsi="Arial" w:cs="Arial"/>
                <w:bCs/>
                <w:sz w:val="24"/>
                <w:szCs w:val="24"/>
                <w:lang w:eastAsia="en-GB"/>
              </w:rPr>
              <w:t>Council’s land or land occupied by a councillor or officer or when the complaint has co</w:t>
            </w:r>
            <w:r>
              <w:rPr>
                <w:rFonts w:ascii="Arial" w:hAnsi="Arial" w:cs="Arial"/>
                <w:bCs/>
                <w:sz w:val="24"/>
                <w:szCs w:val="24"/>
                <w:lang w:eastAsia="en-GB"/>
              </w:rPr>
              <w:t>me from a councillor or officer</w:t>
            </w:r>
          </w:p>
          <w:p w14:paraId="531A43BD" w14:textId="7FEED669" w:rsidR="007A0232" w:rsidRPr="0098602B" w:rsidRDefault="007A0232" w:rsidP="007A0232">
            <w:pPr>
              <w:pStyle w:val="ListParagraph"/>
              <w:numPr>
                <w:ilvl w:val="0"/>
                <w:numId w:val="34"/>
              </w:numPr>
              <w:spacing w:after="120"/>
              <w:rPr>
                <w:rFonts w:ascii="Arial Bold,Bold" w:hAnsi="Arial Bold,Bold" w:cs="Arial Bold,Bold"/>
                <w:b/>
                <w:bCs/>
                <w:lang w:eastAsia="en-GB"/>
              </w:rPr>
            </w:pPr>
            <w:r w:rsidRPr="0018752F">
              <w:rPr>
                <w:rFonts w:ascii="Arial" w:hAnsi="Arial" w:cs="Arial"/>
                <w:bCs/>
                <w:sz w:val="24"/>
                <w:szCs w:val="24"/>
                <w:lang w:eastAsia="en-GB"/>
              </w:rPr>
              <w:t>deciding whether to register one or more candidate heritage assets having regard to the Council’s adopted criteria</w:t>
            </w:r>
          </w:p>
        </w:tc>
      </w:tr>
      <w:tr w:rsidR="0098602B" w:rsidRPr="0098602B" w14:paraId="77CBE5E8" w14:textId="77777777" w:rsidTr="00F3216D">
        <w:trPr>
          <w:trHeight w:val="636"/>
        </w:trPr>
        <w:tc>
          <w:tcPr>
            <w:tcW w:w="1162" w:type="dxa"/>
            <w:tcBorders>
              <w:bottom w:val="single" w:sz="4" w:space="0" w:color="auto"/>
            </w:tcBorders>
            <w:shd w:val="clear" w:color="auto" w:fill="auto"/>
            <w:vAlign w:val="center"/>
          </w:tcPr>
          <w:p w14:paraId="34D66E75" w14:textId="1613A0AA" w:rsidR="006E0C7B" w:rsidRPr="0098602B" w:rsidRDefault="006E0C7B" w:rsidP="00CD06DC">
            <w:pPr>
              <w:jc w:val="center"/>
              <w:rPr>
                <w:sz w:val="23"/>
                <w:szCs w:val="23"/>
              </w:rPr>
            </w:pPr>
            <w:r w:rsidRPr="0098602B">
              <w:rPr>
                <w:sz w:val="23"/>
                <w:szCs w:val="23"/>
              </w:rPr>
              <w:lastRenderedPageBreak/>
              <w:t>5.13</w:t>
            </w:r>
          </w:p>
        </w:tc>
        <w:tc>
          <w:tcPr>
            <w:tcW w:w="6521" w:type="dxa"/>
            <w:tcBorders>
              <w:bottom w:val="single" w:sz="4" w:space="0" w:color="auto"/>
            </w:tcBorders>
          </w:tcPr>
          <w:p w14:paraId="7EEAEBAB" w14:textId="77777777" w:rsidR="006E0C7B" w:rsidRPr="0098602B" w:rsidRDefault="006E0C7B">
            <w:pPr>
              <w:rPr>
                <w:bCs/>
                <w:kern w:val="32"/>
              </w:rPr>
            </w:pPr>
          </w:p>
          <w:p w14:paraId="0F2C136A" w14:textId="77777777" w:rsidR="0035443B" w:rsidRPr="0098602B" w:rsidRDefault="0035443B">
            <w:pPr>
              <w:rPr>
                <w:b/>
                <w:bCs/>
                <w:kern w:val="32"/>
              </w:rPr>
            </w:pPr>
            <w:r w:rsidRPr="0098602B">
              <w:rPr>
                <w:b/>
                <w:bCs/>
                <w:kern w:val="32"/>
              </w:rPr>
              <w:t>Pensions</w:t>
            </w:r>
          </w:p>
          <w:p w14:paraId="463EF3E0" w14:textId="77777777" w:rsidR="0035443B" w:rsidRPr="0098602B" w:rsidRDefault="00F15DA2">
            <w:pPr>
              <w:rPr>
                <w:bCs/>
                <w:kern w:val="32"/>
              </w:rPr>
            </w:pPr>
            <w:r w:rsidRPr="0098602B">
              <w:rPr>
                <w:bCs/>
                <w:kern w:val="32"/>
              </w:rPr>
              <w:t>To include responsibility for stage 1 appeals decisions under the Council’s existing Adjudication of Disagreements Procedure.</w:t>
            </w:r>
          </w:p>
          <w:p w14:paraId="4E934389" w14:textId="77777777" w:rsidR="00F15DA2" w:rsidRPr="0098602B" w:rsidRDefault="00F15DA2">
            <w:pPr>
              <w:rPr>
                <w:bCs/>
                <w:kern w:val="32"/>
              </w:rPr>
            </w:pPr>
          </w:p>
          <w:p w14:paraId="0292D071" w14:textId="77777777" w:rsidR="00F15DA2" w:rsidRPr="0098602B" w:rsidRDefault="00F15DA2">
            <w:pPr>
              <w:rPr>
                <w:b/>
                <w:bCs/>
                <w:kern w:val="32"/>
              </w:rPr>
            </w:pPr>
            <w:r w:rsidRPr="0098602B">
              <w:rPr>
                <w:b/>
                <w:bCs/>
                <w:kern w:val="32"/>
              </w:rPr>
              <w:t>Rationale</w:t>
            </w:r>
          </w:p>
          <w:p w14:paraId="215852A7" w14:textId="27809E5D" w:rsidR="00F15DA2" w:rsidRPr="0098602B" w:rsidRDefault="00F15DA2">
            <w:pPr>
              <w:rPr>
                <w:bCs/>
                <w:kern w:val="32"/>
              </w:rPr>
            </w:pPr>
            <w:r w:rsidRPr="0098602B">
              <w:rPr>
                <w:bCs/>
                <w:kern w:val="32"/>
              </w:rPr>
              <w:t>The officer responsible for these decisions has recently retired and their post has not been directly replaced, requiring a new delegation of responsibility. For clarity and visibility it is proposed to include this responsibility in the Constitution.</w:t>
            </w:r>
          </w:p>
        </w:tc>
        <w:tc>
          <w:tcPr>
            <w:tcW w:w="1277" w:type="dxa"/>
            <w:tcBorders>
              <w:bottom w:val="single" w:sz="4" w:space="0" w:color="auto"/>
            </w:tcBorders>
            <w:shd w:val="clear" w:color="auto" w:fill="auto"/>
            <w:vAlign w:val="center"/>
          </w:tcPr>
          <w:p w14:paraId="54678378" w14:textId="77777777" w:rsidR="006E0C7B" w:rsidRPr="0098602B" w:rsidRDefault="006E0C7B" w:rsidP="005E097C"/>
        </w:tc>
        <w:tc>
          <w:tcPr>
            <w:tcW w:w="6237" w:type="dxa"/>
            <w:tcBorders>
              <w:bottom w:val="single" w:sz="4" w:space="0" w:color="auto"/>
            </w:tcBorders>
            <w:shd w:val="clear" w:color="auto" w:fill="auto"/>
            <w:vAlign w:val="center"/>
          </w:tcPr>
          <w:p w14:paraId="5BE6CD31" w14:textId="16EE6656" w:rsidR="0035443B" w:rsidRPr="0098602B" w:rsidRDefault="0035443B">
            <w:pPr>
              <w:spacing w:after="120"/>
              <w:rPr>
                <w:b/>
                <w:u w:val="single"/>
              </w:rPr>
            </w:pPr>
            <w:r w:rsidRPr="0098602B">
              <w:rPr>
                <w:rFonts w:ascii="Arial Bold,Bold" w:hAnsi="Arial Bold,Bold" w:cs="Arial Bold,Bold"/>
                <w:b/>
                <w:bCs/>
                <w:lang w:eastAsia="en-GB"/>
              </w:rPr>
              <w:t>5.13 Pensions</w:t>
            </w:r>
          </w:p>
          <w:p w14:paraId="4920F166" w14:textId="77777777" w:rsidR="0035443B" w:rsidRPr="0098602B" w:rsidRDefault="0035443B">
            <w:pPr>
              <w:spacing w:after="120"/>
            </w:pPr>
            <w:r w:rsidRPr="0098602B">
              <w:t>(a) Description of responsibility</w:t>
            </w:r>
          </w:p>
          <w:p w14:paraId="2C913DA0" w14:textId="7DD48C83" w:rsidR="0035443B" w:rsidRPr="0098602B" w:rsidRDefault="0035443B">
            <w:pPr>
              <w:spacing w:after="120"/>
            </w:pPr>
            <w:r w:rsidRPr="0098602B">
              <w:t>All the responsibilities in Paragraph H of Schedule 1 to the Local Authorities (Functions and Responsibilities) (England) Regulations 2000.</w:t>
            </w:r>
          </w:p>
          <w:p w14:paraId="5AF5E73C" w14:textId="77777777" w:rsidR="0035443B" w:rsidRPr="0098602B" w:rsidRDefault="0035443B">
            <w:pPr>
              <w:spacing w:after="120"/>
            </w:pPr>
            <w:r w:rsidRPr="0098602B">
              <w:t>(b) Who carries out the responsibility?</w:t>
            </w:r>
          </w:p>
          <w:p w14:paraId="5E1F6A16" w14:textId="77777777" w:rsidR="006E0C7B" w:rsidRPr="0098602B" w:rsidRDefault="0035443B">
            <w:pPr>
              <w:spacing w:after="120"/>
            </w:pPr>
            <w:r w:rsidRPr="0098602B">
              <w:t>The Chief Executive.</w:t>
            </w:r>
          </w:p>
          <w:p w14:paraId="222B7248" w14:textId="17984AB1" w:rsidR="0035443B" w:rsidRPr="0098602B" w:rsidRDefault="002A52E2">
            <w:pPr>
              <w:spacing w:after="120"/>
              <w:rPr>
                <w:u w:val="single"/>
              </w:rPr>
            </w:pPr>
            <w:r w:rsidRPr="0098602B">
              <w:rPr>
                <w:u w:val="single"/>
              </w:rPr>
              <w:t xml:space="preserve">An officer authorised by the </w:t>
            </w:r>
            <w:r w:rsidR="0035443B" w:rsidRPr="0098602B">
              <w:rPr>
                <w:u w:val="single"/>
              </w:rPr>
              <w:t>Chief Executive will act as the Council’s adjudicator to determine first stage appeals in respect of decisions under the Adjudication of Disagreements Procedure operated by the Pensions Service.</w:t>
            </w:r>
          </w:p>
        </w:tc>
      </w:tr>
      <w:tr w:rsidR="0098602B" w:rsidRPr="0098602B" w14:paraId="4A5030FB" w14:textId="77777777" w:rsidTr="00F3216D">
        <w:trPr>
          <w:trHeight w:val="636"/>
        </w:trPr>
        <w:tc>
          <w:tcPr>
            <w:tcW w:w="1162" w:type="dxa"/>
            <w:tcBorders>
              <w:bottom w:val="single" w:sz="4" w:space="0" w:color="auto"/>
            </w:tcBorders>
            <w:shd w:val="clear" w:color="auto" w:fill="auto"/>
            <w:vAlign w:val="center"/>
          </w:tcPr>
          <w:p w14:paraId="3D9C06EC" w14:textId="3C4619FF" w:rsidR="006E37F4" w:rsidRPr="0098602B" w:rsidRDefault="00D83CA6" w:rsidP="00CD06DC">
            <w:pPr>
              <w:jc w:val="center"/>
              <w:rPr>
                <w:sz w:val="23"/>
                <w:szCs w:val="23"/>
              </w:rPr>
            </w:pPr>
            <w:r w:rsidRPr="0098602B">
              <w:rPr>
                <w:sz w:val="23"/>
                <w:szCs w:val="23"/>
              </w:rPr>
              <w:t>5.15</w:t>
            </w:r>
          </w:p>
        </w:tc>
        <w:tc>
          <w:tcPr>
            <w:tcW w:w="6521" w:type="dxa"/>
            <w:tcBorders>
              <w:bottom w:val="single" w:sz="4" w:space="0" w:color="auto"/>
            </w:tcBorders>
          </w:tcPr>
          <w:p w14:paraId="25C26460" w14:textId="77777777" w:rsidR="006E37F4" w:rsidRPr="0098602B" w:rsidRDefault="006E37F4">
            <w:pPr>
              <w:rPr>
                <w:bCs/>
                <w:kern w:val="32"/>
              </w:rPr>
            </w:pPr>
          </w:p>
          <w:p w14:paraId="2D918C25" w14:textId="77777777" w:rsidR="006E37F4" w:rsidRPr="0098602B" w:rsidRDefault="003A567D">
            <w:pPr>
              <w:spacing w:after="120"/>
              <w:rPr>
                <w:b/>
                <w:bCs/>
                <w:kern w:val="32"/>
              </w:rPr>
            </w:pPr>
            <w:r w:rsidRPr="0098602B">
              <w:rPr>
                <w:b/>
                <w:bCs/>
                <w:kern w:val="32"/>
              </w:rPr>
              <w:t>Highways</w:t>
            </w:r>
          </w:p>
          <w:p w14:paraId="43BA360B" w14:textId="07A4FE0C" w:rsidR="006E37F4" w:rsidRPr="0098602B" w:rsidRDefault="006E37F4">
            <w:pPr>
              <w:rPr>
                <w:bCs/>
                <w:kern w:val="32"/>
              </w:rPr>
            </w:pPr>
            <w:r w:rsidRPr="0098602B">
              <w:rPr>
                <w:bCs/>
                <w:kern w:val="32"/>
              </w:rPr>
              <w:t>Delegate the power to deal with</w:t>
            </w:r>
            <w:r w:rsidR="00D634A0" w:rsidRPr="0098602B">
              <w:rPr>
                <w:bCs/>
                <w:kern w:val="32"/>
              </w:rPr>
              <w:t xml:space="preserve"> footpath creation </w:t>
            </w:r>
            <w:r w:rsidR="00902EAA" w:rsidRPr="0098602B">
              <w:rPr>
                <w:bCs/>
                <w:kern w:val="32"/>
              </w:rPr>
              <w:t xml:space="preserve">on Council owned land </w:t>
            </w:r>
            <w:r w:rsidR="00D634A0" w:rsidRPr="0098602B">
              <w:rPr>
                <w:bCs/>
                <w:kern w:val="32"/>
              </w:rPr>
              <w:t>under the Highways Act 1980 to an officer</w:t>
            </w:r>
            <w:r w:rsidR="004D1819" w:rsidRPr="0098602B">
              <w:rPr>
                <w:bCs/>
                <w:kern w:val="32"/>
              </w:rPr>
              <w:t>.</w:t>
            </w:r>
            <w:r w:rsidR="00D634A0" w:rsidRPr="0098602B">
              <w:rPr>
                <w:bCs/>
                <w:kern w:val="32"/>
              </w:rPr>
              <w:t xml:space="preserve"> </w:t>
            </w:r>
          </w:p>
          <w:p w14:paraId="59B80C3A" w14:textId="77777777" w:rsidR="00AF2485" w:rsidRPr="0098602B" w:rsidRDefault="00AF2485">
            <w:pPr>
              <w:rPr>
                <w:bCs/>
                <w:kern w:val="32"/>
              </w:rPr>
            </w:pPr>
          </w:p>
          <w:p w14:paraId="6B71C397" w14:textId="43913F8C" w:rsidR="00C36400" w:rsidRPr="0098602B" w:rsidRDefault="006E37F4">
            <w:r w:rsidRPr="0098602B">
              <w:rPr>
                <w:b/>
              </w:rPr>
              <w:t xml:space="preserve">Rationale: </w:t>
            </w:r>
            <w:r w:rsidRPr="0098602B">
              <w:t xml:space="preserve">To </w:t>
            </w:r>
            <w:r w:rsidR="004D1819" w:rsidRPr="0098602B">
              <w:t xml:space="preserve">include the delegation of a power not </w:t>
            </w:r>
            <w:r w:rsidRPr="0098602B">
              <w:t>currently listed</w:t>
            </w:r>
            <w:r w:rsidR="004D1819" w:rsidRPr="0098602B">
              <w:t>, which would otherwise need to be exercised by full Council.</w:t>
            </w:r>
          </w:p>
        </w:tc>
        <w:tc>
          <w:tcPr>
            <w:tcW w:w="1277" w:type="dxa"/>
            <w:tcBorders>
              <w:bottom w:val="single" w:sz="4" w:space="0" w:color="auto"/>
            </w:tcBorders>
            <w:shd w:val="clear" w:color="auto" w:fill="auto"/>
            <w:vAlign w:val="center"/>
          </w:tcPr>
          <w:p w14:paraId="06696122" w14:textId="68602805" w:rsidR="006E37F4" w:rsidRPr="0098602B" w:rsidRDefault="006E37F4" w:rsidP="005E097C"/>
        </w:tc>
        <w:tc>
          <w:tcPr>
            <w:tcW w:w="6237" w:type="dxa"/>
            <w:tcBorders>
              <w:bottom w:val="single" w:sz="4" w:space="0" w:color="auto"/>
            </w:tcBorders>
            <w:shd w:val="clear" w:color="auto" w:fill="auto"/>
            <w:vAlign w:val="center"/>
          </w:tcPr>
          <w:p w14:paraId="37F61C35" w14:textId="77777777" w:rsidR="005B71C5" w:rsidRPr="0098602B" w:rsidRDefault="005B71C5">
            <w:pPr>
              <w:spacing w:after="120"/>
              <w:rPr>
                <w:b/>
                <w:u w:val="single"/>
              </w:rPr>
            </w:pPr>
          </w:p>
          <w:p w14:paraId="0A044E3A" w14:textId="5673DDB9" w:rsidR="006E37F4" w:rsidRPr="0098602B" w:rsidRDefault="00C662F4">
            <w:pPr>
              <w:spacing w:after="120"/>
              <w:rPr>
                <w:b/>
                <w:u w:val="single"/>
              </w:rPr>
            </w:pPr>
            <w:r w:rsidRPr="0098602B">
              <w:rPr>
                <w:b/>
                <w:u w:val="single"/>
              </w:rPr>
              <w:t xml:space="preserve">5.15 </w:t>
            </w:r>
            <w:r w:rsidR="00CC2131" w:rsidRPr="0098602B">
              <w:rPr>
                <w:b/>
                <w:u w:val="single"/>
              </w:rPr>
              <w:t>Power to enter into an agreement to c</w:t>
            </w:r>
            <w:r w:rsidRPr="0098602B">
              <w:rPr>
                <w:b/>
                <w:u w:val="single"/>
              </w:rPr>
              <w:t>r</w:t>
            </w:r>
            <w:r w:rsidR="00CC2131" w:rsidRPr="0098602B">
              <w:rPr>
                <w:b/>
                <w:u w:val="single"/>
              </w:rPr>
              <w:t>eate a</w:t>
            </w:r>
            <w:r w:rsidRPr="0098602B">
              <w:rPr>
                <w:b/>
                <w:u w:val="single"/>
              </w:rPr>
              <w:t xml:space="preserve"> public path</w:t>
            </w:r>
            <w:r w:rsidR="00CC2131" w:rsidRPr="0098602B">
              <w:rPr>
                <w:b/>
                <w:u w:val="single"/>
              </w:rPr>
              <w:t xml:space="preserve"> on Council owned land</w:t>
            </w:r>
          </w:p>
          <w:p w14:paraId="594C5A56" w14:textId="2262D21B" w:rsidR="00C662F4" w:rsidRPr="0098602B" w:rsidRDefault="00C662F4">
            <w:pPr>
              <w:spacing w:after="120"/>
              <w:rPr>
                <w:u w:val="single"/>
              </w:rPr>
            </w:pPr>
            <w:r w:rsidRPr="0098602B">
              <w:rPr>
                <w:u w:val="single"/>
              </w:rPr>
              <w:t>(a) Description of responsibility</w:t>
            </w:r>
          </w:p>
          <w:p w14:paraId="2B605E1C" w14:textId="09226CA7" w:rsidR="00C662F4" w:rsidRPr="0098602B" w:rsidRDefault="00C662F4">
            <w:pPr>
              <w:spacing w:after="120"/>
              <w:rPr>
                <w:u w:val="single"/>
              </w:rPr>
            </w:pPr>
            <w:r w:rsidRPr="0098602B">
              <w:rPr>
                <w:u w:val="single"/>
              </w:rPr>
              <w:t>All the responsibilities in section 25 of the Highways Act 1980</w:t>
            </w:r>
          </w:p>
          <w:p w14:paraId="08AEF9D2" w14:textId="2336F30C" w:rsidR="00C662F4" w:rsidRPr="0098602B" w:rsidRDefault="00C662F4">
            <w:pPr>
              <w:spacing w:after="120"/>
              <w:rPr>
                <w:u w:val="single"/>
              </w:rPr>
            </w:pPr>
            <w:r w:rsidRPr="0098602B">
              <w:rPr>
                <w:u w:val="single"/>
              </w:rPr>
              <w:t>(b) Who carries out the responsibility?</w:t>
            </w:r>
          </w:p>
          <w:p w14:paraId="28AF8AAA" w14:textId="77777777" w:rsidR="00C662F4" w:rsidRPr="0098602B" w:rsidRDefault="00C662F4">
            <w:pPr>
              <w:spacing w:after="120"/>
              <w:rPr>
                <w:u w:val="single"/>
              </w:rPr>
            </w:pPr>
            <w:r w:rsidRPr="0098602B">
              <w:rPr>
                <w:u w:val="single"/>
              </w:rPr>
              <w:t xml:space="preserve">Executive Director </w:t>
            </w:r>
            <w:r w:rsidR="00902EAA" w:rsidRPr="0098602B">
              <w:rPr>
                <w:u w:val="single"/>
              </w:rPr>
              <w:t>for D</w:t>
            </w:r>
            <w:r w:rsidRPr="0098602B">
              <w:rPr>
                <w:u w:val="single"/>
              </w:rPr>
              <w:t>evelopment</w:t>
            </w:r>
          </w:p>
          <w:p w14:paraId="13C010C6" w14:textId="6135BD96" w:rsidR="002026D4" w:rsidRPr="0098602B" w:rsidRDefault="002026D4">
            <w:pPr>
              <w:spacing w:after="120"/>
              <w:rPr>
                <w:u w:val="single"/>
              </w:rPr>
            </w:pPr>
          </w:p>
        </w:tc>
      </w:tr>
      <w:tr w:rsidR="0098602B" w:rsidRPr="0098602B" w14:paraId="14EE1920" w14:textId="77777777" w:rsidTr="00F3216D">
        <w:trPr>
          <w:trHeight w:val="561"/>
        </w:trPr>
        <w:tc>
          <w:tcPr>
            <w:tcW w:w="1162" w:type="dxa"/>
            <w:shd w:val="clear" w:color="auto" w:fill="F2F2F2"/>
            <w:vAlign w:val="center"/>
          </w:tcPr>
          <w:p w14:paraId="0E7B2A48" w14:textId="1ACE31CE" w:rsidR="00801B08" w:rsidRPr="0098602B" w:rsidRDefault="00D634A0" w:rsidP="00CD06DC">
            <w:pPr>
              <w:jc w:val="center"/>
              <w:rPr>
                <w:b/>
              </w:rPr>
            </w:pPr>
            <w:r w:rsidRPr="0098602B">
              <w:rPr>
                <w:b/>
              </w:rPr>
              <w:t>Part 7</w:t>
            </w:r>
          </w:p>
        </w:tc>
        <w:tc>
          <w:tcPr>
            <w:tcW w:w="14035" w:type="dxa"/>
            <w:gridSpan w:val="3"/>
            <w:tcBorders>
              <w:bottom w:val="single" w:sz="4" w:space="0" w:color="auto"/>
            </w:tcBorders>
            <w:shd w:val="clear" w:color="auto" w:fill="F2F2F2"/>
          </w:tcPr>
          <w:p w14:paraId="2611D391" w14:textId="77777777" w:rsidR="00801B08" w:rsidRPr="0098602B" w:rsidRDefault="00D634A0">
            <w:pPr>
              <w:spacing w:before="120"/>
              <w:rPr>
                <w:b/>
              </w:rPr>
            </w:pPr>
            <w:r w:rsidRPr="0098602B">
              <w:rPr>
                <w:b/>
              </w:rPr>
              <w:t>Roles of decision making committees</w:t>
            </w:r>
          </w:p>
        </w:tc>
      </w:tr>
      <w:tr w:rsidR="0098602B" w:rsidRPr="0098602B" w14:paraId="4666A903" w14:textId="77777777" w:rsidTr="00F3216D">
        <w:trPr>
          <w:trHeight w:val="561"/>
        </w:trPr>
        <w:tc>
          <w:tcPr>
            <w:tcW w:w="1162" w:type="dxa"/>
            <w:shd w:val="clear" w:color="auto" w:fill="auto"/>
            <w:vAlign w:val="center"/>
          </w:tcPr>
          <w:p w14:paraId="1A2F419F" w14:textId="1D998E4F" w:rsidR="0012449C" w:rsidRPr="0098602B" w:rsidRDefault="0012449C" w:rsidP="00646ADF">
            <w:r w:rsidRPr="0098602B">
              <w:t>7.8</w:t>
            </w:r>
            <w:r w:rsidR="00667C33" w:rsidRPr="0098602B">
              <w:t>(f)</w:t>
            </w:r>
          </w:p>
        </w:tc>
        <w:tc>
          <w:tcPr>
            <w:tcW w:w="6521" w:type="dxa"/>
            <w:shd w:val="clear" w:color="auto" w:fill="auto"/>
          </w:tcPr>
          <w:p w14:paraId="660CD87C" w14:textId="77777777" w:rsidR="00F36E05" w:rsidRPr="0098602B" w:rsidRDefault="00F36E05">
            <w:pPr>
              <w:spacing w:before="120"/>
              <w:rPr>
                <w:b/>
              </w:rPr>
            </w:pPr>
            <w:r w:rsidRPr="0098602B">
              <w:rPr>
                <w:b/>
              </w:rPr>
              <w:t>Appointments Committee</w:t>
            </w:r>
          </w:p>
          <w:p w14:paraId="7C339AF2" w14:textId="198C6D3D" w:rsidR="0012449C" w:rsidRPr="0098602B" w:rsidRDefault="0012449C">
            <w:pPr>
              <w:spacing w:before="120"/>
              <w:rPr>
                <w:b/>
              </w:rPr>
            </w:pPr>
            <w:r w:rsidRPr="0098602B">
              <w:rPr>
                <w:b/>
              </w:rPr>
              <w:t xml:space="preserve">Officers authorised by the Chief Executive to carry out work </w:t>
            </w:r>
            <w:r w:rsidR="005F6086" w:rsidRPr="0098602B">
              <w:rPr>
                <w:b/>
              </w:rPr>
              <w:t>f</w:t>
            </w:r>
            <w:r w:rsidRPr="0098602B">
              <w:rPr>
                <w:b/>
              </w:rPr>
              <w:t>or other local authorities</w:t>
            </w:r>
          </w:p>
          <w:p w14:paraId="015AA2EB" w14:textId="1B175D07" w:rsidR="0012449C" w:rsidRPr="0098602B" w:rsidRDefault="0012449C">
            <w:pPr>
              <w:spacing w:before="120"/>
            </w:pPr>
            <w:r w:rsidRPr="0098602B">
              <w:t xml:space="preserve">Amend the role of the Appointments Committee to </w:t>
            </w:r>
            <w:r w:rsidR="00F36E05" w:rsidRPr="0098602B">
              <w:t>include the receipt of reports from the Chief Executive on the number of officers that they have authorised to carry out work for another local authority under a delegation from that local authority (see above)</w:t>
            </w:r>
            <w:r w:rsidR="00D16048" w:rsidRPr="0098602B">
              <w:t>(Part 9.3(g)</w:t>
            </w:r>
            <w:r w:rsidR="00F36E05" w:rsidRPr="0098602B">
              <w:t xml:space="preserve">. The delegation would be accepted by the cabinet (Part 3.9) and the staffing implications would be known at the point at which the decision </w:t>
            </w:r>
            <w:r w:rsidR="00D16048" w:rsidRPr="0098602B">
              <w:t>to accept a delegation was</w:t>
            </w:r>
            <w:r w:rsidR="00F36E05" w:rsidRPr="0098602B">
              <w:t xml:space="preserve"> made.</w:t>
            </w:r>
          </w:p>
          <w:p w14:paraId="4F6DE29D" w14:textId="77777777" w:rsidR="00F36E05" w:rsidRPr="0098602B" w:rsidRDefault="00F36E05">
            <w:pPr>
              <w:spacing w:before="120"/>
            </w:pPr>
            <w:r w:rsidRPr="0098602B">
              <w:rPr>
                <w:b/>
              </w:rPr>
              <w:lastRenderedPageBreak/>
              <w:t xml:space="preserve">Rationale: </w:t>
            </w:r>
            <w:r w:rsidRPr="0098602B">
              <w:t>To allow f</w:t>
            </w:r>
            <w:r w:rsidR="00D16048" w:rsidRPr="0098602B">
              <w:t>or</w:t>
            </w:r>
            <w:r w:rsidRPr="0098602B">
              <w:t xml:space="preserve"> greater transparency </w:t>
            </w:r>
            <w:r w:rsidR="00D16048" w:rsidRPr="0098602B">
              <w:t xml:space="preserve">and accountability </w:t>
            </w:r>
            <w:r w:rsidRPr="0098602B">
              <w:t xml:space="preserve">around the staffing issues </w:t>
            </w:r>
            <w:r w:rsidR="00D16048" w:rsidRPr="0098602B">
              <w:t xml:space="preserve">that arise if </w:t>
            </w:r>
            <w:r w:rsidRPr="0098602B">
              <w:t xml:space="preserve">the Council accepts </w:t>
            </w:r>
            <w:r w:rsidR="00D16048" w:rsidRPr="0098602B">
              <w:t xml:space="preserve">such </w:t>
            </w:r>
            <w:r w:rsidRPr="0098602B">
              <w:t xml:space="preserve">a delegation </w:t>
            </w:r>
          </w:p>
          <w:p w14:paraId="21F52A3C" w14:textId="4F05E0BC" w:rsidR="00E372D1" w:rsidRPr="0098602B" w:rsidRDefault="00E372D1">
            <w:pPr>
              <w:spacing w:before="120"/>
            </w:pPr>
          </w:p>
        </w:tc>
        <w:tc>
          <w:tcPr>
            <w:tcW w:w="1277" w:type="dxa"/>
            <w:shd w:val="clear" w:color="auto" w:fill="auto"/>
          </w:tcPr>
          <w:p w14:paraId="5561FF7C" w14:textId="1E6E438D" w:rsidR="0012449C" w:rsidRPr="0098602B" w:rsidRDefault="0012449C" w:rsidP="002A51FD">
            <w:pPr>
              <w:spacing w:before="120"/>
            </w:pPr>
          </w:p>
        </w:tc>
        <w:tc>
          <w:tcPr>
            <w:tcW w:w="6237" w:type="dxa"/>
            <w:shd w:val="clear" w:color="auto" w:fill="auto"/>
          </w:tcPr>
          <w:p w14:paraId="2B932106" w14:textId="55BE732B" w:rsidR="00F36E05" w:rsidRPr="0098602B" w:rsidRDefault="00667C33" w:rsidP="00667C33">
            <w:pPr>
              <w:spacing w:before="120"/>
              <w:rPr>
                <w:u w:val="single"/>
              </w:rPr>
            </w:pPr>
            <w:r w:rsidRPr="0098602B">
              <w:t>7.8(f) To receive a report from the Head of Paid Service on senior management arrangements, to include any change, every six months.</w:t>
            </w:r>
            <w:r w:rsidRPr="0098602B">
              <w:rPr>
                <w:u w:val="single"/>
              </w:rPr>
              <w:t xml:space="preserve"> This report should include the number of officers that have been authorised to carry out work f</w:t>
            </w:r>
            <w:r w:rsidR="006D2A01" w:rsidRPr="0098602B">
              <w:rPr>
                <w:u w:val="single"/>
              </w:rPr>
              <w:t>or another local authority</w:t>
            </w:r>
            <w:r w:rsidRPr="0098602B">
              <w:rPr>
                <w:u w:val="single"/>
              </w:rPr>
              <w:t>, if such authorisations have been made (Part 9.3(g)).</w:t>
            </w:r>
          </w:p>
        </w:tc>
      </w:tr>
      <w:tr w:rsidR="0098602B" w:rsidRPr="0098602B" w14:paraId="45ADE993" w14:textId="77777777" w:rsidTr="00F3216D">
        <w:trPr>
          <w:trHeight w:val="561"/>
        </w:trPr>
        <w:tc>
          <w:tcPr>
            <w:tcW w:w="1162" w:type="dxa"/>
            <w:shd w:val="clear" w:color="auto" w:fill="auto"/>
            <w:vAlign w:val="center"/>
          </w:tcPr>
          <w:p w14:paraId="72995F80" w14:textId="4220531C" w:rsidR="00F36E05" w:rsidRPr="0098602B" w:rsidRDefault="00D83CA6" w:rsidP="00F36E05">
            <w:pPr>
              <w:jc w:val="center"/>
            </w:pPr>
            <w:r w:rsidRPr="0098602B">
              <w:t>7.8</w:t>
            </w:r>
          </w:p>
        </w:tc>
        <w:tc>
          <w:tcPr>
            <w:tcW w:w="6521" w:type="dxa"/>
            <w:shd w:val="clear" w:color="auto" w:fill="auto"/>
          </w:tcPr>
          <w:p w14:paraId="77CEF94D" w14:textId="77777777" w:rsidR="00F36E05" w:rsidRPr="0098602B" w:rsidRDefault="00F36E05">
            <w:pPr>
              <w:spacing w:before="120"/>
              <w:rPr>
                <w:b/>
              </w:rPr>
            </w:pPr>
            <w:r w:rsidRPr="0098602B">
              <w:rPr>
                <w:b/>
              </w:rPr>
              <w:t>Politically restricted posts</w:t>
            </w:r>
          </w:p>
          <w:p w14:paraId="5A3EE519" w14:textId="77777777" w:rsidR="00F36E05" w:rsidRPr="0098602B" w:rsidRDefault="00F36E05">
            <w:pPr>
              <w:spacing w:before="120"/>
            </w:pPr>
            <w:r w:rsidRPr="0098602B">
              <w:t>Amend the role of the Appointments Committee to include consideration of appeals/objections to a post being added to the list of politically sensitive posts in the Council’s list of Politically Restricted Posts.</w:t>
            </w:r>
          </w:p>
          <w:p w14:paraId="0F8D0E21" w14:textId="77777777" w:rsidR="00F36E05" w:rsidRPr="0098602B" w:rsidRDefault="00F36E05">
            <w:pPr>
              <w:spacing w:before="120"/>
            </w:pPr>
            <w:r w:rsidRPr="0098602B">
              <w:rPr>
                <w:b/>
              </w:rPr>
              <w:t>Rationale:</w:t>
            </w:r>
            <w:r w:rsidRPr="0098602B">
              <w:t xml:space="preserve"> To reflect the procedure adopted for the categorisation of posts as politically restricted by the Head of the Paid Service. Keeping a list of politically restricted posts is legal requirement and a proper officer function which is allocated to the Chief Executive in the Constitution. The legislation specifies that certain posts are politically sensitive. Senior officer posts are all on the list of politically restricted posts. Other officer posts further down the structure, with less strategic roles, may also be on the list depending on the nature of those roles if they are considered to be “sensitive” and there is a procedure for post-holders to appeal against this categorisation to the Appointments Committee. This proposal is to include that function within the terms of reference of the Appointments Committee in the Constitution.</w:t>
            </w:r>
          </w:p>
          <w:p w14:paraId="00F19C5A" w14:textId="77777777" w:rsidR="00F36E05" w:rsidRPr="0098602B" w:rsidRDefault="00F36E05" w:rsidP="00F23B9C">
            <w:pPr>
              <w:spacing w:before="120"/>
              <w:rPr>
                <w:b/>
              </w:rPr>
            </w:pPr>
          </w:p>
        </w:tc>
        <w:tc>
          <w:tcPr>
            <w:tcW w:w="1277" w:type="dxa"/>
            <w:shd w:val="clear" w:color="auto" w:fill="auto"/>
          </w:tcPr>
          <w:p w14:paraId="23A01410" w14:textId="77777777" w:rsidR="00E81127" w:rsidRDefault="00E81127" w:rsidP="00F36E05">
            <w:pPr>
              <w:spacing w:before="120"/>
            </w:pPr>
          </w:p>
          <w:p w14:paraId="5007DD12" w14:textId="5B35493A" w:rsidR="00F36E05" w:rsidRPr="0098602B" w:rsidRDefault="00F36E05" w:rsidP="00F36E05">
            <w:pPr>
              <w:spacing w:before="120"/>
            </w:pPr>
            <w:r w:rsidRPr="0098602B">
              <w:t>7.8(h)</w:t>
            </w:r>
          </w:p>
        </w:tc>
        <w:tc>
          <w:tcPr>
            <w:tcW w:w="6237" w:type="dxa"/>
            <w:shd w:val="clear" w:color="auto" w:fill="auto"/>
          </w:tcPr>
          <w:p w14:paraId="58B8D41B" w14:textId="62CD4035" w:rsidR="00F36E05" w:rsidRPr="0098602B" w:rsidRDefault="00F36E05">
            <w:pPr>
              <w:spacing w:before="120"/>
              <w:rPr>
                <w:u w:val="single"/>
              </w:rPr>
            </w:pPr>
            <w:r w:rsidRPr="0098602B">
              <w:rPr>
                <w:u w:val="single"/>
              </w:rPr>
              <w:t xml:space="preserve">7.8(h) To consider appeals from post holders in roles deemed to be politically “sensitive” who wish their post to be exempt from the Council’s list of Politically Restricted Posts. </w:t>
            </w:r>
          </w:p>
        </w:tc>
      </w:tr>
      <w:tr w:rsidR="0098602B" w:rsidRPr="0098602B" w14:paraId="3BEC8E0E" w14:textId="77777777" w:rsidTr="00F3216D">
        <w:trPr>
          <w:trHeight w:val="561"/>
        </w:trPr>
        <w:tc>
          <w:tcPr>
            <w:tcW w:w="1162" w:type="dxa"/>
            <w:shd w:val="clear" w:color="auto" w:fill="auto"/>
            <w:vAlign w:val="center"/>
          </w:tcPr>
          <w:p w14:paraId="581FD36F" w14:textId="62CC38D0" w:rsidR="00F36E05" w:rsidRPr="0098602B" w:rsidRDefault="00F36E05" w:rsidP="00F36E05">
            <w:pPr>
              <w:jc w:val="center"/>
            </w:pPr>
            <w:r w:rsidRPr="0098602B">
              <w:t>7.9(d)</w:t>
            </w:r>
          </w:p>
        </w:tc>
        <w:tc>
          <w:tcPr>
            <w:tcW w:w="6521" w:type="dxa"/>
            <w:shd w:val="clear" w:color="auto" w:fill="auto"/>
          </w:tcPr>
          <w:p w14:paraId="3028AC3A" w14:textId="1493C999" w:rsidR="00F36E05" w:rsidRPr="0098602B" w:rsidRDefault="00F36E05">
            <w:pPr>
              <w:spacing w:before="120"/>
              <w:rPr>
                <w:b/>
              </w:rPr>
            </w:pPr>
            <w:r w:rsidRPr="0098602B">
              <w:rPr>
                <w:b/>
              </w:rPr>
              <w:t>Individual dispensations</w:t>
            </w:r>
          </w:p>
          <w:p w14:paraId="57FF415C" w14:textId="65F7AD06" w:rsidR="00F36E05" w:rsidRPr="0098602B" w:rsidRDefault="00F36E05">
            <w:pPr>
              <w:spacing w:before="120"/>
            </w:pPr>
            <w:r w:rsidRPr="0098602B">
              <w:t>Update the process for considering individual dispensations which Council has previously delegated to the Monitoring Officer at a meeting on 1 October 2018. Dispensations allow Members to take part in a meeting or decision from which they would otherwise be precluded due to having a disclosable pecuniary interest.</w:t>
            </w:r>
          </w:p>
          <w:p w14:paraId="767B3FCF" w14:textId="77777777" w:rsidR="00F36E05" w:rsidRPr="0098602B" w:rsidRDefault="00F36E05">
            <w:pPr>
              <w:spacing w:before="120"/>
            </w:pPr>
          </w:p>
          <w:p w14:paraId="714BDCC9" w14:textId="4B53F644" w:rsidR="00F36E05" w:rsidRPr="0098602B" w:rsidRDefault="00F36E05" w:rsidP="00F23B9C">
            <w:pPr>
              <w:spacing w:before="120"/>
            </w:pPr>
            <w:r w:rsidRPr="0098602B">
              <w:rPr>
                <w:b/>
              </w:rPr>
              <w:t xml:space="preserve">Rationale: </w:t>
            </w:r>
            <w:r w:rsidRPr="0098602B">
              <w:t xml:space="preserve">To clarify the delegation agreed by Council on 1 October 2018. The Monitoring Officer has delegated authority to grant an individual dispensation to a Member following consultation with an Independent Person. The Standards </w:t>
            </w:r>
            <w:r w:rsidRPr="0098602B">
              <w:lastRenderedPageBreak/>
              <w:t>Committee receives reports from the Monitoring officer on the granting of individual dispensations and has noted that it is not always practicable for the Monitoring Officer to consult with an Independent Person prior to granting an individual dispensation e.g. if a dispensation is sought during or immediately p</w:t>
            </w:r>
            <w:r w:rsidR="00F23B9C" w:rsidRPr="0098602B">
              <w:t>rior to a meeting taking place.</w:t>
            </w:r>
          </w:p>
        </w:tc>
        <w:tc>
          <w:tcPr>
            <w:tcW w:w="1277" w:type="dxa"/>
            <w:tcBorders>
              <w:bottom w:val="single" w:sz="4" w:space="0" w:color="auto"/>
            </w:tcBorders>
            <w:shd w:val="clear" w:color="auto" w:fill="auto"/>
          </w:tcPr>
          <w:p w14:paraId="0661FD24" w14:textId="77777777" w:rsidR="00F36E05" w:rsidRPr="0098602B" w:rsidRDefault="00F36E05" w:rsidP="00F36E05">
            <w:pPr>
              <w:spacing w:before="120"/>
            </w:pPr>
          </w:p>
        </w:tc>
        <w:tc>
          <w:tcPr>
            <w:tcW w:w="6237" w:type="dxa"/>
            <w:shd w:val="clear" w:color="auto" w:fill="auto"/>
          </w:tcPr>
          <w:p w14:paraId="0CC7768E" w14:textId="77777777" w:rsidR="00F36E05" w:rsidRPr="0098602B" w:rsidRDefault="00F36E05">
            <w:pPr>
              <w:spacing w:before="120"/>
            </w:pPr>
            <w:r w:rsidRPr="0098602B">
              <w:t>7.9 Standards Committee</w:t>
            </w:r>
          </w:p>
          <w:p w14:paraId="588813C8" w14:textId="0080F02B" w:rsidR="00F36E05" w:rsidRPr="0098602B" w:rsidRDefault="00F36E05">
            <w:pPr>
              <w:spacing w:before="120"/>
            </w:pPr>
            <w:r w:rsidRPr="0098602B">
              <w:t>(a) Considering complaints of breaches of the Members’ Code of Conduct (Part 22 Annex 1)</w:t>
            </w:r>
          </w:p>
          <w:p w14:paraId="7D6CCFA3" w14:textId="68732ACB" w:rsidR="00F36E05" w:rsidRPr="0098602B" w:rsidRDefault="00F36E05">
            <w:pPr>
              <w:spacing w:before="120"/>
            </w:pPr>
            <w:r w:rsidRPr="0098602B">
              <w:t>(b) Making recommendations to Council on the adoption or revision of the Members’ Code of Conduct</w:t>
            </w:r>
          </w:p>
          <w:p w14:paraId="46BA73E5" w14:textId="2ECF6417" w:rsidR="00F36E05" w:rsidRPr="0098602B" w:rsidRDefault="00F36E05">
            <w:pPr>
              <w:spacing w:before="120"/>
            </w:pPr>
            <w:r w:rsidRPr="0098602B">
              <w:t>(c) Making recommendations to Council on complaints handling arrangements in respect of breaches of the Members’ Code of Conduct</w:t>
            </w:r>
          </w:p>
          <w:p w14:paraId="73505A83" w14:textId="259074B8" w:rsidR="00F36E05" w:rsidRPr="0098602B" w:rsidRDefault="00F36E05">
            <w:pPr>
              <w:spacing w:before="120"/>
            </w:pPr>
            <w:r w:rsidRPr="0098602B">
              <w:t xml:space="preserve">(d) Considering requests from councillors for and granting dispensation under section 33 of the Localism Act 2011 from being precluded from participation in a meeting. The Monitoring Officer can grant individual dispensations to councillors </w:t>
            </w:r>
            <w:r w:rsidRPr="0098602B">
              <w:rPr>
                <w:u w:val="single"/>
              </w:rPr>
              <w:t xml:space="preserve">following consultation with an Independent Person wherever consultation is practicable. Where consultation with an Independent Person is impracticable, </w:t>
            </w:r>
            <w:r w:rsidRPr="0098602B">
              <w:rPr>
                <w:u w:val="single"/>
              </w:rPr>
              <w:lastRenderedPageBreak/>
              <w:t>the Monitoring Officer can grant individual dispensations without consultation</w:t>
            </w:r>
            <w:r w:rsidRPr="0098602B">
              <w:t>.</w:t>
            </w:r>
          </w:p>
          <w:p w14:paraId="1CC46BEA" w14:textId="322A2028" w:rsidR="00F36E05" w:rsidRPr="0098602B" w:rsidRDefault="00F36E05">
            <w:pPr>
              <w:spacing w:before="120"/>
            </w:pPr>
            <w:r w:rsidRPr="0098602B">
              <w:t>(e) To receive reports …</w:t>
            </w:r>
          </w:p>
          <w:p w14:paraId="7838F3C4" w14:textId="6CAD3764" w:rsidR="00F36E05" w:rsidRPr="0098602B" w:rsidRDefault="00F36E05">
            <w:pPr>
              <w:spacing w:before="120"/>
            </w:pPr>
          </w:p>
        </w:tc>
      </w:tr>
      <w:tr w:rsidR="0098602B" w:rsidRPr="0098602B" w14:paraId="2451F537" w14:textId="77777777" w:rsidTr="00F3216D">
        <w:trPr>
          <w:trHeight w:val="561"/>
        </w:trPr>
        <w:tc>
          <w:tcPr>
            <w:tcW w:w="1162" w:type="dxa"/>
            <w:shd w:val="clear" w:color="auto" w:fill="F2F2F2" w:themeFill="background1" w:themeFillShade="F2"/>
            <w:vAlign w:val="center"/>
          </w:tcPr>
          <w:p w14:paraId="7D127FA1" w14:textId="0C6770CC" w:rsidR="00F36E05" w:rsidRPr="0098602B" w:rsidRDefault="00F36E05" w:rsidP="00F36E05">
            <w:pPr>
              <w:jc w:val="center"/>
              <w:rPr>
                <w:b/>
              </w:rPr>
            </w:pPr>
            <w:r w:rsidRPr="0098602B">
              <w:rPr>
                <w:b/>
              </w:rPr>
              <w:lastRenderedPageBreak/>
              <w:t xml:space="preserve">Part 8 </w:t>
            </w:r>
          </w:p>
        </w:tc>
        <w:tc>
          <w:tcPr>
            <w:tcW w:w="6521" w:type="dxa"/>
            <w:tcBorders>
              <w:right w:val="nil"/>
            </w:tcBorders>
            <w:shd w:val="clear" w:color="auto" w:fill="F2F2F2" w:themeFill="background1" w:themeFillShade="F2"/>
          </w:tcPr>
          <w:p w14:paraId="49B74DCE" w14:textId="77777777" w:rsidR="00F36E05" w:rsidRPr="0098602B" w:rsidRDefault="00F36E05">
            <w:pPr>
              <w:spacing w:before="120"/>
              <w:rPr>
                <w:b/>
              </w:rPr>
            </w:pPr>
            <w:r w:rsidRPr="0098602B">
              <w:rPr>
                <w:b/>
              </w:rPr>
              <w:t>Role of the Scrutiny Committee</w:t>
            </w:r>
          </w:p>
        </w:tc>
        <w:tc>
          <w:tcPr>
            <w:tcW w:w="1277" w:type="dxa"/>
            <w:tcBorders>
              <w:left w:val="nil"/>
              <w:right w:val="nil"/>
            </w:tcBorders>
            <w:shd w:val="clear" w:color="auto" w:fill="F2F2F2" w:themeFill="background1" w:themeFillShade="F2"/>
          </w:tcPr>
          <w:p w14:paraId="1830BDAB" w14:textId="77777777" w:rsidR="00F36E05" w:rsidRPr="0098602B" w:rsidRDefault="00F36E05" w:rsidP="00F36E05">
            <w:pPr>
              <w:spacing w:before="120"/>
            </w:pPr>
          </w:p>
        </w:tc>
        <w:tc>
          <w:tcPr>
            <w:tcW w:w="6237" w:type="dxa"/>
            <w:tcBorders>
              <w:left w:val="nil"/>
            </w:tcBorders>
            <w:shd w:val="clear" w:color="auto" w:fill="F2F2F2" w:themeFill="background1" w:themeFillShade="F2"/>
          </w:tcPr>
          <w:p w14:paraId="20E8F6D4" w14:textId="77777777" w:rsidR="00F36E05" w:rsidRPr="0098602B" w:rsidRDefault="00F36E05">
            <w:pPr>
              <w:spacing w:before="120"/>
            </w:pPr>
          </w:p>
        </w:tc>
      </w:tr>
      <w:tr w:rsidR="0098602B" w:rsidRPr="0098602B" w14:paraId="301B29D3" w14:textId="77777777" w:rsidTr="00F3216D">
        <w:trPr>
          <w:trHeight w:val="561"/>
        </w:trPr>
        <w:tc>
          <w:tcPr>
            <w:tcW w:w="1162" w:type="dxa"/>
            <w:tcBorders>
              <w:bottom w:val="single" w:sz="4" w:space="0" w:color="auto"/>
            </w:tcBorders>
            <w:shd w:val="clear" w:color="auto" w:fill="auto"/>
            <w:vAlign w:val="center"/>
          </w:tcPr>
          <w:p w14:paraId="7738FC6B" w14:textId="2F84BABA" w:rsidR="00F36E05" w:rsidRPr="0098602B" w:rsidRDefault="00F36E05" w:rsidP="00F36E05">
            <w:pPr>
              <w:jc w:val="center"/>
            </w:pPr>
            <w:r w:rsidRPr="0098602B">
              <w:t>8.2</w:t>
            </w:r>
          </w:p>
        </w:tc>
        <w:tc>
          <w:tcPr>
            <w:tcW w:w="6521" w:type="dxa"/>
            <w:tcBorders>
              <w:bottom w:val="single" w:sz="4" w:space="0" w:color="auto"/>
            </w:tcBorders>
            <w:shd w:val="clear" w:color="auto" w:fill="auto"/>
          </w:tcPr>
          <w:p w14:paraId="5052B5F1" w14:textId="6E956D53" w:rsidR="00F36E05" w:rsidRPr="0098602B" w:rsidRDefault="00F36E05">
            <w:pPr>
              <w:spacing w:before="120"/>
              <w:rPr>
                <w:b/>
              </w:rPr>
            </w:pPr>
            <w:r w:rsidRPr="0098602B">
              <w:rPr>
                <w:b/>
              </w:rPr>
              <w:t>Standing panel and review group chairs</w:t>
            </w:r>
          </w:p>
          <w:p w14:paraId="603892F9" w14:textId="5AC6FE6E" w:rsidR="00F36E05" w:rsidRPr="0098602B" w:rsidRDefault="00F36E05">
            <w:pPr>
              <w:spacing w:before="120"/>
            </w:pPr>
            <w:r w:rsidRPr="0098602B">
              <w:t>To include in the Constitution the Scrutiny Committee’s long standing “operating principle” that chairs of standing panels and review groups must be a member of the Scrutiny Committee.</w:t>
            </w:r>
          </w:p>
          <w:p w14:paraId="007EC600" w14:textId="0F1106CF" w:rsidR="00F36E05" w:rsidRPr="0098602B" w:rsidRDefault="00F36E05">
            <w:pPr>
              <w:spacing w:before="120"/>
            </w:pPr>
            <w:r w:rsidRPr="0098602B">
              <w:rPr>
                <w:b/>
              </w:rPr>
              <w:t xml:space="preserve">Rationale: </w:t>
            </w:r>
            <w:r w:rsidRPr="0098602B">
              <w:t xml:space="preserve">This proposal will formalise the rule that chairs of standing panels and review groups must be members of the Scrutiny Committee, providing additional clarity to members and groups. The rule is to ensure that only members of the Scrutiny Committee are responsible and accountable for the leadership of the scrutiny function. Other non-executive members can sit on these bodies but cannot chair them. </w:t>
            </w:r>
          </w:p>
          <w:p w14:paraId="5DA3EFBD" w14:textId="77777777" w:rsidR="00F36E05" w:rsidRPr="0098602B" w:rsidRDefault="00F36E05">
            <w:pPr>
              <w:spacing w:before="120"/>
            </w:pPr>
          </w:p>
          <w:p w14:paraId="756B4F44" w14:textId="40871448" w:rsidR="00F36E05" w:rsidRPr="0098602B" w:rsidRDefault="00F36E05" w:rsidP="00F23B9C">
            <w:pPr>
              <w:rPr>
                <w:b/>
              </w:rPr>
            </w:pPr>
          </w:p>
        </w:tc>
        <w:tc>
          <w:tcPr>
            <w:tcW w:w="1277" w:type="dxa"/>
            <w:tcBorders>
              <w:bottom w:val="single" w:sz="4" w:space="0" w:color="auto"/>
            </w:tcBorders>
            <w:shd w:val="clear" w:color="auto" w:fill="auto"/>
          </w:tcPr>
          <w:p w14:paraId="30CCEABA" w14:textId="76AE1C68" w:rsidR="00F36E05" w:rsidRPr="0098602B" w:rsidRDefault="00F36E05" w:rsidP="00F36E05">
            <w:pPr>
              <w:spacing w:before="120"/>
            </w:pPr>
          </w:p>
        </w:tc>
        <w:tc>
          <w:tcPr>
            <w:tcW w:w="6237" w:type="dxa"/>
            <w:tcBorders>
              <w:bottom w:val="single" w:sz="4" w:space="0" w:color="auto"/>
            </w:tcBorders>
            <w:shd w:val="clear" w:color="auto" w:fill="auto"/>
          </w:tcPr>
          <w:p w14:paraId="6DAE0669" w14:textId="77777777" w:rsidR="00F36E05" w:rsidRPr="0098602B" w:rsidRDefault="00F36E05">
            <w:pPr>
              <w:spacing w:before="120"/>
            </w:pPr>
            <w:r w:rsidRPr="0098602B">
              <w:t>8.2 What powers does the Scrutiny Committee have?</w:t>
            </w:r>
          </w:p>
          <w:p w14:paraId="16A264EE" w14:textId="77777777" w:rsidR="00F36E05" w:rsidRPr="0098602B" w:rsidRDefault="00F36E05">
            <w:pPr>
              <w:spacing w:before="120"/>
            </w:pPr>
            <w:r w:rsidRPr="0098602B">
              <w:t>The Scrutiny Committee can:</w:t>
            </w:r>
          </w:p>
          <w:p w14:paraId="6014AA3A" w14:textId="6F06B9CD" w:rsidR="00F36E05" w:rsidRPr="0098602B" w:rsidRDefault="00F36E05">
            <w:pPr>
              <w:pStyle w:val="ListParagraph"/>
              <w:numPr>
                <w:ilvl w:val="0"/>
                <w:numId w:val="28"/>
              </w:numPr>
              <w:spacing w:before="120"/>
              <w:rPr>
                <w:rFonts w:ascii="Arial" w:hAnsi="Arial" w:cs="Arial"/>
                <w:sz w:val="24"/>
                <w:szCs w:val="24"/>
              </w:rPr>
            </w:pPr>
            <w:r w:rsidRPr="0098602B">
              <w:rPr>
                <w:rFonts w:ascii="Arial" w:hAnsi="Arial" w:cs="Arial"/>
                <w:sz w:val="24"/>
                <w:szCs w:val="24"/>
              </w:rPr>
              <w:t>Send reports and recommendations to the Cabinet or Council on anything the Council is responsible for or anything that affects the city or its people</w:t>
            </w:r>
          </w:p>
          <w:p w14:paraId="2D99088A" w14:textId="17D9C999" w:rsidR="00F36E05" w:rsidRPr="0098602B" w:rsidRDefault="00F36E05">
            <w:pPr>
              <w:pStyle w:val="ListParagraph"/>
              <w:numPr>
                <w:ilvl w:val="0"/>
                <w:numId w:val="28"/>
              </w:numPr>
              <w:spacing w:before="120"/>
              <w:rPr>
                <w:rFonts w:ascii="Arial" w:hAnsi="Arial" w:cs="Arial"/>
                <w:sz w:val="24"/>
                <w:szCs w:val="24"/>
              </w:rPr>
            </w:pPr>
            <w:r w:rsidRPr="0098602B">
              <w:rPr>
                <w:rFonts w:ascii="Arial" w:hAnsi="Arial" w:cs="Arial"/>
                <w:sz w:val="24"/>
                <w:szCs w:val="24"/>
              </w:rPr>
              <w:t>Consider decisions that have been called in and ask for them to be looked at again (Part 17.1)</w:t>
            </w:r>
          </w:p>
          <w:p w14:paraId="62E96B79" w14:textId="754AF633" w:rsidR="00F36E05" w:rsidRPr="0098602B" w:rsidRDefault="00F36E05">
            <w:pPr>
              <w:pStyle w:val="ListParagraph"/>
              <w:numPr>
                <w:ilvl w:val="0"/>
                <w:numId w:val="28"/>
              </w:numPr>
              <w:spacing w:before="120"/>
              <w:rPr>
                <w:rFonts w:ascii="Arial" w:hAnsi="Arial" w:cs="Arial"/>
                <w:sz w:val="24"/>
                <w:szCs w:val="24"/>
              </w:rPr>
            </w:pPr>
            <w:r w:rsidRPr="0098602B">
              <w:rPr>
                <w:rFonts w:ascii="Arial" w:hAnsi="Arial" w:cs="Arial"/>
                <w:sz w:val="24"/>
                <w:szCs w:val="24"/>
              </w:rPr>
              <w:t>Monitor the Forward Plan and call for reports on items that are coming up</w:t>
            </w:r>
          </w:p>
          <w:p w14:paraId="660E7AF0" w14:textId="39379A10" w:rsidR="00F36E05" w:rsidRPr="0098602B" w:rsidRDefault="00F36E05">
            <w:pPr>
              <w:pStyle w:val="ListParagraph"/>
              <w:numPr>
                <w:ilvl w:val="0"/>
                <w:numId w:val="28"/>
              </w:numPr>
              <w:spacing w:before="120"/>
              <w:rPr>
                <w:rFonts w:ascii="Arial" w:hAnsi="Arial" w:cs="Arial"/>
                <w:sz w:val="24"/>
                <w:szCs w:val="24"/>
              </w:rPr>
            </w:pPr>
            <w:r w:rsidRPr="0098602B">
              <w:rPr>
                <w:rFonts w:ascii="Arial" w:hAnsi="Arial" w:cs="Arial"/>
                <w:sz w:val="24"/>
                <w:szCs w:val="24"/>
              </w:rPr>
              <w:t>Require senior officers (Part 9.1), and Cabinet members to attend meetings and answer questions (Part 13)</w:t>
            </w:r>
          </w:p>
          <w:p w14:paraId="548F274C" w14:textId="1F0000FD" w:rsidR="00F36E05" w:rsidRPr="0098602B" w:rsidRDefault="00F36E05">
            <w:pPr>
              <w:pStyle w:val="ListParagraph"/>
              <w:numPr>
                <w:ilvl w:val="0"/>
                <w:numId w:val="28"/>
              </w:numPr>
              <w:spacing w:before="120"/>
              <w:rPr>
                <w:rFonts w:ascii="Arial" w:hAnsi="Arial" w:cs="Arial"/>
                <w:sz w:val="24"/>
                <w:szCs w:val="24"/>
              </w:rPr>
            </w:pPr>
            <w:r w:rsidRPr="0098602B">
              <w:rPr>
                <w:rFonts w:ascii="Arial" w:hAnsi="Arial" w:cs="Arial"/>
                <w:sz w:val="24"/>
                <w:szCs w:val="24"/>
              </w:rPr>
              <w:t>Hold public inquiries</w:t>
            </w:r>
          </w:p>
          <w:p w14:paraId="12E36DD9" w14:textId="77777777" w:rsidR="00F36E05" w:rsidRPr="0098602B" w:rsidRDefault="00F36E05">
            <w:pPr>
              <w:pStyle w:val="ListParagraph"/>
              <w:numPr>
                <w:ilvl w:val="0"/>
                <w:numId w:val="28"/>
              </w:numPr>
              <w:spacing w:before="120"/>
              <w:rPr>
                <w:rFonts w:ascii="Arial" w:hAnsi="Arial" w:cs="Arial"/>
                <w:sz w:val="24"/>
                <w:szCs w:val="24"/>
              </w:rPr>
            </w:pPr>
            <w:r w:rsidRPr="0098602B">
              <w:rPr>
                <w:rFonts w:ascii="Arial" w:hAnsi="Arial" w:cs="Arial"/>
                <w:sz w:val="24"/>
                <w:szCs w:val="24"/>
              </w:rPr>
              <w:t>Invite people to meetings and gather evidence from them</w:t>
            </w:r>
          </w:p>
          <w:p w14:paraId="499A9652" w14:textId="2E8F3D15" w:rsidR="00F36E05" w:rsidRPr="0098602B" w:rsidRDefault="00F36E05">
            <w:pPr>
              <w:pStyle w:val="ListParagraph"/>
              <w:numPr>
                <w:ilvl w:val="0"/>
                <w:numId w:val="28"/>
              </w:numPr>
              <w:spacing w:before="120"/>
            </w:pPr>
            <w:r w:rsidRPr="0098602B">
              <w:rPr>
                <w:rFonts w:ascii="Arial" w:hAnsi="Arial" w:cs="Arial"/>
                <w:sz w:val="24"/>
                <w:szCs w:val="24"/>
              </w:rPr>
              <w:t xml:space="preserve">Establish standing and ad hoc panels and review groups to do work and make recommendations. </w:t>
            </w:r>
            <w:r w:rsidRPr="0098602B">
              <w:rPr>
                <w:rFonts w:ascii="Arial" w:hAnsi="Arial" w:cs="Arial"/>
                <w:sz w:val="24"/>
                <w:szCs w:val="24"/>
                <w:u w:val="single"/>
              </w:rPr>
              <w:t>The membership of panels and review groups will be set by the Scrutiny Committee and can be drawn from all non-executive members but the chair must be a Member of the Scrutiny Committee.</w:t>
            </w:r>
          </w:p>
          <w:p w14:paraId="4055A156" w14:textId="033C9DFF" w:rsidR="00F36E05" w:rsidRPr="0098602B" w:rsidRDefault="00F36E05">
            <w:pPr>
              <w:spacing w:before="120"/>
              <w:ind w:left="360"/>
            </w:pPr>
          </w:p>
        </w:tc>
      </w:tr>
      <w:tr w:rsidR="0098602B" w:rsidRPr="0098602B" w14:paraId="1BB4CA03" w14:textId="144FFAB0" w:rsidTr="00F3216D">
        <w:trPr>
          <w:trHeight w:val="561"/>
        </w:trPr>
        <w:tc>
          <w:tcPr>
            <w:tcW w:w="1162" w:type="dxa"/>
            <w:tcBorders>
              <w:top w:val="single" w:sz="4" w:space="0" w:color="auto"/>
              <w:bottom w:val="single" w:sz="4" w:space="0" w:color="auto"/>
            </w:tcBorders>
            <w:shd w:val="clear" w:color="auto" w:fill="F2F2F2"/>
            <w:vAlign w:val="center"/>
          </w:tcPr>
          <w:p w14:paraId="1D20455E" w14:textId="77777777" w:rsidR="00F36E05" w:rsidRPr="0098602B" w:rsidRDefault="00F36E05" w:rsidP="00F36E05">
            <w:pPr>
              <w:jc w:val="center"/>
              <w:rPr>
                <w:b/>
              </w:rPr>
            </w:pPr>
            <w:r w:rsidRPr="0098602B">
              <w:rPr>
                <w:b/>
              </w:rPr>
              <w:t>Part 9</w:t>
            </w:r>
          </w:p>
        </w:tc>
        <w:tc>
          <w:tcPr>
            <w:tcW w:w="6521" w:type="dxa"/>
            <w:tcBorders>
              <w:top w:val="single" w:sz="4" w:space="0" w:color="auto"/>
              <w:bottom w:val="single" w:sz="4" w:space="0" w:color="auto"/>
              <w:right w:val="nil"/>
            </w:tcBorders>
            <w:shd w:val="clear" w:color="auto" w:fill="F2F2F2"/>
          </w:tcPr>
          <w:p w14:paraId="7A11E616" w14:textId="77777777" w:rsidR="00F36E05" w:rsidRPr="0098602B" w:rsidRDefault="00F36E05">
            <w:pPr>
              <w:spacing w:before="120"/>
              <w:rPr>
                <w:b/>
              </w:rPr>
            </w:pPr>
            <w:r w:rsidRPr="0098602B">
              <w:rPr>
                <w:b/>
              </w:rPr>
              <w:t>Roles of Officers</w:t>
            </w:r>
          </w:p>
        </w:tc>
        <w:tc>
          <w:tcPr>
            <w:tcW w:w="1277" w:type="dxa"/>
            <w:tcBorders>
              <w:top w:val="single" w:sz="4" w:space="0" w:color="auto"/>
              <w:left w:val="nil"/>
              <w:bottom w:val="single" w:sz="4" w:space="0" w:color="auto"/>
              <w:right w:val="nil"/>
            </w:tcBorders>
            <w:shd w:val="clear" w:color="auto" w:fill="F2F2F2"/>
          </w:tcPr>
          <w:p w14:paraId="1DCC3EA5" w14:textId="77777777" w:rsidR="00F36E05" w:rsidRPr="0098602B" w:rsidRDefault="00F36E05" w:rsidP="00F36E05">
            <w:pPr>
              <w:spacing w:before="120"/>
              <w:rPr>
                <w:b/>
              </w:rPr>
            </w:pPr>
          </w:p>
        </w:tc>
        <w:tc>
          <w:tcPr>
            <w:tcW w:w="6237" w:type="dxa"/>
            <w:tcBorders>
              <w:top w:val="single" w:sz="4" w:space="0" w:color="auto"/>
              <w:left w:val="nil"/>
              <w:bottom w:val="single" w:sz="4" w:space="0" w:color="auto"/>
            </w:tcBorders>
            <w:shd w:val="clear" w:color="auto" w:fill="F2F2F2"/>
          </w:tcPr>
          <w:p w14:paraId="5B50E244" w14:textId="77777777" w:rsidR="00F36E05" w:rsidRPr="0098602B" w:rsidRDefault="00F36E05">
            <w:pPr>
              <w:spacing w:before="120"/>
              <w:ind w:left="-151" w:firstLine="151"/>
              <w:rPr>
                <w:b/>
              </w:rPr>
            </w:pPr>
          </w:p>
        </w:tc>
      </w:tr>
      <w:tr w:rsidR="0098602B" w:rsidRPr="0098602B" w14:paraId="61675168" w14:textId="77777777" w:rsidTr="00F3216D">
        <w:trPr>
          <w:trHeight w:val="561"/>
        </w:trPr>
        <w:tc>
          <w:tcPr>
            <w:tcW w:w="1162" w:type="dxa"/>
            <w:tcBorders>
              <w:top w:val="single" w:sz="4" w:space="0" w:color="auto"/>
              <w:bottom w:val="single" w:sz="4" w:space="0" w:color="auto"/>
            </w:tcBorders>
            <w:shd w:val="clear" w:color="auto" w:fill="auto"/>
            <w:vAlign w:val="center"/>
          </w:tcPr>
          <w:p w14:paraId="01B69DD9" w14:textId="6B8E8BCB" w:rsidR="00F36E05" w:rsidRPr="0098602B" w:rsidRDefault="00F36E05" w:rsidP="00F36E05">
            <w:pPr>
              <w:jc w:val="center"/>
              <w:rPr>
                <w:sz w:val="23"/>
                <w:szCs w:val="23"/>
              </w:rPr>
            </w:pPr>
            <w:r w:rsidRPr="0098602B">
              <w:rPr>
                <w:sz w:val="23"/>
                <w:szCs w:val="23"/>
              </w:rPr>
              <w:t xml:space="preserve">9.3(b) &amp; (c) </w:t>
            </w:r>
          </w:p>
        </w:tc>
        <w:tc>
          <w:tcPr>
            <w:tcW w:w="6521" w:type="dxa"/>
            <w:tcBorders>
              <w:top w:val="single" w:sz="4" w:space="0" w:color="auto"/>
              <w:bottom w:val="single" w:sz="4" w:space="0" w:color="auto"/>
            </w:tcBorders>
          </w:tcPr>
          <w:p w14:paraId="2112CB6D" w14:textId="629E13C3" w:rsidR="00F36E05" w:rsidRPr="0098602B" w:rsidRDefault="00F36E05">
            <w:pPr>
              <w:rPr>
                <w:b/>
              </w:rPr>
            </w:pPr>
            <w:r w:rsidRPr="0098602B">
              <w:rPr>
                <w:b/>
              </w:rPr>
              <w:t>Urgency and emergency powers</w:t>
            </w:r>
          </w:p>
          <w:p w14:paraId="61A78E4D" w14:textId="77777777" w:rsidR="00F36E05" w:rsidRPr="0098602B" w:rsidRDefault="00F36E05"/>
          <w:p w14:paraId="00454CAD" w14:textId="696C51C6" w:rsidR="00F36E05" w:rsidRPr="0098602B" w:rsidRDefault="00F36E05">
            <w:r w:rsidRPr="0098602B">
              <w:t>Add some details of the governance around decisions taken in an emergency (i.e. the need to follow the process for urgent key decisions and signpost 15.17).</w:t>
            </w:r>
          </w:p>
          <w:p w14:paraId="7D9B3F04" w14:textId="77777777" w:rsidR="00F36E05" w:rsidRPr="0098602B" w:rsidRDefault="00F36E05"/>
          <w:p w14:paraId="47CD892B" w14:textId="1B3EED7F" w:rsidR="00F36E05" w:rsidRPr="0098602B" w:rsidRDefault="00F36E05">
            <w:r w:rsidRPr="0098602B">
              <w:rPr>
                <w:b/>
              </w:rPr>
              <w:t>Rationale:</w:t>
            </w:r>
            <w:r w:rsidRPr="0098602B">
              <w:t xml:space="preserve"> To clarify and signpost to the existing requirements that key decision and call in procedure rules apply to any key decisions taken using the urgency or emergency powers delegated to the Head of Paid Service. Key decisions are those that </w:t>
            </w:r>
            <w:r w:rsidRPr="0098602B">
              <w:lastRenderedPageBreak/>
              <w:t>involve spending or saving &gt;£500k or that significantly impact communities living or working in two or more local wards. Under The Local Authorities (Executive Arrangements) (Meetings and Access to Information) (England) Regulations 2012, key decisions must ordinarily be notified on the Forward Plan for 28 day but can be taken 5 days after the Chair of the Scrutiny Committee being notified or sooner if the Chair of Scrutiny agrees with the urgency. Key decisions are also subject to call in by the Chair of Scrutiny or any 4 Members. The Chair of Scrutiny can choose to waive Members’ rights to call in urgent decisions. This proposal is intended to make the requirements clearer for anyone reading this part of the Constitution in isolation.</w:t>
            </w:r>
          </w:p>
          <w:p w14:paraId="3314237E" w14:textId="24896354" w:rsidR="00F36E05" w:rsidRPr="0098602B" w:rsidRDefault="00F36E05">
            <w:pPr>
              <w:pStyle w:val="Default"/>
              <w:rPr>
                <w:color w:val="auto"/>
              </w:rPr>
            </w:pPr>
          </w:p>
        </w:tc>
        <w:tc>
          <w:tcPr>
            <w:tcW w:w="1277" w:type="dxa"/>
            <w:tcBorders>
              <w:top w:val="single" w:sz="4" w:space="0" w:color="auto"/>
              <w:bottom w:val="single" w:sz="4" w:space="0" w:color="auto"/>
            </w:tcBorders>
            <w:shd w:val="clear" w:color="auto" w:fill="auto"/>
            <w:vAlign w:val="center"/>
          </w:tcPr>
          <w:p w14:paraId="26A26FB1" w14:textId="1813ED0D" w:rsidR="00F36E05" w:rsidRPr="0098602B" w:rsidRDefault="00F36E05" w:rsidP="00F36E05">
            <w:pPr>
              <w:pStyle w:val="Default"/>
              <w:rPr>
                <w:bCs/>
                <w:color w:val="auto"/>
              </w:rPr>
            </w:pPr>
            <w:r w:rsidRPr="0098602B">
              <w:rPr>
                <w:bCs/>
                <w:color w:val="auto"/>
              </w:rPr>
              <w:lastRenderedPageBreak/>
              <w:t>9.3(b) &amp; (c)</w:t>
            </w:r>
          </w:p>
        </w:tc>
        <w:tc>
          <w:tcPr>
            <w:tcW w:w="6237" w:type="dxa"/>
            <w:tcBorders>
              <w:top w:val="single" w:sz="4" w:space="0" w:color="auto"/>
              <w:bottom w:val="single" w:sz="4" w:space="0" w:color="auto"/>
            </w:tcBorders>
            <w:shd w:val="clear" w:color="auto" w:fill="auto"/>
            <w:vAlign w:val="center"/>
          </w:tcPr>
          <w:p w14:paraId="4F8D6A9F" w14:textId="6C01851A" w:rsidR="00F36E05" w:rsidRPr="0098602B" w:rsidRDefault="00F36E05">
            <w:r w:rsidRPr="0098602B">
              <w:t>(b) The Head of Paid Service is authorised to take any urgent action necessary to protect the Council’s interests and assets where time is of the essence and it is impracticable to secure authority to act where such authority would otherwise be required.</w:t>
            </w:r>
          </w:p>
          <w:p w14:paraId="598AC2C2" w14:textId="77777777" w:rsidR="00F36E05" w:rsidRPr="0098602B" w:rsidRDefault="00F36E05"/>
          <w:p w14:paraId="64F3D933" w14:textId="3B15CBB5" w:rsidR="00F36E05" w:rsidRPr="0098602B" w:rsidRDefault="00F36E05">
            <w:r w:rsidRPr="0098602B">
              <w:t>The Head of Paid Service, in so acting, will be guided by budget and the policy framework, will consult the other Statutory Officers before acting and will report, in writing, as soon as practicable to the body which would otherwise have been required to give the necessary authority to act.</w:t>
            </w:r>
          </w:p>
          <w:p w14:paraId="4C4B2345" w14:textId="77777777" w:rsidR="00F36E05" w:rsidRPr="0098602B" w:rsidRDefault="00F36E05"/>
          <w:p w14:paraId="4C7D5AE9" w14:textId="1AE4BC71" w:rsidR="00F36E05" w:rsidRPr="0098602B" w:rsidRDefault="00F36E05">
            <w:pPr>
              <w:rPr>
                <w:u w:val="single"/>
              </w:rPr>
            </w:pPr>
            <w:r w:rsidRPr="0098602B">
              <w:rPr>
                <w:u w:val="single"/>
              </w:rPr>
              <w:lastRenderedPageBreak/>
              <w:t>Key decision procedures and call in procedures (Parts 15 &amp; 17) will apply to any key decisions taken under this authorisation.</w:t>
            </w:r>
          </w:p>
          <w:p w14:paraId="4E34AC74" w14:textId="77777777" w:rsidR="00F36E05" w:rsidRPr="0098602B" w:rsidRDefault="00F36E05"/>
          <w:p w14:paraId="3C9D4DFA" w14:textId="2FBA9A28" w:rsidR="00F36E05" w:rsidRPr="0098602B" w:rsidRDefault="00F36E05">
            <w:r w:rsidRPr="0098602B">
              <w:t>(c) The Head of the Paid Service may authorise any emergency action required on any matter which shall include incurring expenditure, including those falling within the jurisdiction of a Committee or the Cabinet.</w:t>
            </w:r>
          </w:p>
          <w:p w14:paraId="24B8AD9A" w14:textId="77777777" w:rsidR="00F36E05" w:rsidRPr="0098602B" w:rsidRDefault="00F36E05"/>
          <w:p w14:paraId="660B08F5" w14:textId="77777777" w:rsidR="00F36E05" w:rsidRPr="0098602B" w:rsidRDefault="00F36E05">
            <w:r w:rsidRPr="0098602B">
              <w:t>The Head of Paid Service, in so acting, will be guided by the budget and policy framework, will consult the other Statutory Officers before acting and will report, in writing, as soon as practicable to the body which would otherwise have been required to give the necessary authority to act.</w:t>
            </w:r>
          </w:p>
          <w:p w14:paraId="193FEBF5" w14:textId="77777777" w:rsidR="00F36E05" w:rsidRPr="0098602B" w:rsidRDefault="00F36E05"/>
          <w:p w14:paraId="1F39EE7F" w14:textId="77777777" w:rsidR="00F36E05" w:rsidRPr="0098602B" w:rsidRDefault="00F36E05">
            <w:pPr>
              <w:rPr>
                <w:u w:val="single"/>
              </w:rPr>
            </w:pPr>
            <w:r w:rsidRPr="0098602B">
              <w:rPr>
                <w:u w:val="single"/>
              </w:rPr>
              <w:t>Key decision procedures and call in procedures (Parts 15 &amp; 17) will apply to any key decisions taken under this authorisation.</w:t>
            </w:r>
          </w:p>
          <w:p w14:paraId="40A3A7C0" w14:textId="3295285B" w:rsidR="00F36E05" w:rsidRPr="0098602B" w:rsidRDefault="00F36E05">
            <w:pPr>
              <w:rPr>
                <w:u w:val="single"/>
              </w:rPr>
            </w:pPr>
          </w:p>
        </w:tc>
      </w:tr>
      <w:tr w:rsidR="0098602B" w:rsidRPr="0098602B" w14:paraId="79DD72BA" w14:textId="77777777" w:rsidTr="00F3216D">
        <w:trPr>
          <w:trHeight w:val="561"/>
        </w:trPr>
        <w:tc>
          <w:tcPr>
            <w:tcW w:w="1162" w:type="dxa"/>
            <w:tcBorders>
              <w:bottom w:val="single" w:sz="4" w:space="0" w:color="auto"/>
            </w:tcBorders>
            <w:shd w:val="clear" w:color="auto" w:fill="auto"/>
            <w:vAlign w:val="center"/>
          </w:tcPr>
          <w:p w14:paraId="5DBD8DD5" w14:textId="47F871DA" w:rsidR="00F36E05" w:rsidRPr="0098602B" w:rsidRDefault="00646ADF" w:rsidP="00F36E05">
            <w:pPr>
              <w:jc w:val="center"/>
              <w:rPr>
                <w:sz w:val="23"/>
                <w:szCs w:val="23"/>
              </w:rPr>
            </w:pPr>
            <w:r w:rsidRPr="0098602B">
              <w:rPr>
                <w:sz w:val="23"/>
                <w:szCs w:val="23"/>
              </w:rPr>
              <w:lastRenderedPageBreak/>
              <w:t>9.3</w:t>
            </w:r>
          </w:p>
        </w:tc>
        <w:tc>
          <w:tcPr>
            <w:tcW w:w="6521" w:type="dxa"/>
            <w:tcBorders>
              <w:bottom w:val="single" w:sz="4" w:space="0" w:color="auto"/>
            </w:tcBorders>
          </w:tcPr>
          <w:p w14:paraId="65690C09" w14:textId="3B2D34E3" w:rsidR="00F36E05" w:rsidRPr="0098602B" w:rsidRDefault="00F36E05">
            <w:pPr>
              <w:rPr>
                <w:b/>
              </w:rPr>
            </w:pPr>
            <w:r w:rsidRPr="0098602B">
              <w:rPr>
                <w:b/>
              </w:rPr>
              <w:t>Authorising officers to work for other local authorities</w:t>
            </w:r>
          </w:p>
          <w:p w14:paraId="09FF9A34" w14:textId="77777777" w:rsidR="00F36E05" w:rsidRPr="0098602B" w:rsidRDefault="00F36E05"/>
          <w:p w14:paraId="7602FB41" w14:textId="1A4D0B49" w:rsidR="00F36E05" w:rsidRPr="0098602B" w:rsidRDefault="00F36E05">
            <w:r w:rsidRPr="0098602B">
              <w:t>Add delegated power to the Chief Executive to authorise Council officers to act on behalf of another local authority.</w:t>
            </w:r>
          </w:p>
          <w:p w14:paraId="3B48BF83" w14:textId="77777777" w:rsidR="00F36E05" w:rsidRPr="0098602B" w:rsidRDefault="00F36E05"/>
          <w:p w14:paraId="435CF47A" w14:textId="77777777" w:rsidR="00F36E05" w:rsidRPr="0098602B" w:rsidRDefault="00F36E05">
            <w:r w:rsidRPr="0098602B">
              <w:rPr>
                <w:b/>
              </w:rPr>
              <w:t xml:space="preserve">Rationale: </w:t>
            </w:r>
            <w:r w:rsidRPr="0098602B">
              <w:t>To make provision for when the Council commits Council staff to work for or on behalf of other bodies such as the other district councils e.g. for enforcing Coronavirus regulations.</w:t>
            </w:r>
          </w:p>
          <w:p w14:paraId="601BBAD8" w14:textId="77777777" w:rsidR="00F36E05" w:rsidRPr="0098602B" w:rsidRDefault="00F36E05"/>
          <w:p w14:paraId="4BF70A0E" w14:textId="7B2044FB" w:rsidR="00F36E05" w:rsidRPr="0098602B" w:rsidRDefault="00F36E05" w:rsidP="00F23B9C"/>
        </w:tc>
        <w:tc>
          <w:tcPr>
            <w:tcW w:w="1277" w:type="dxa"/>
            <w:tcBorders>
              <w:bottom w:val="single" w:sz="4" w:space="0" w:color="auto"/>
            </w:tcBorders>
            <w:shd w:val="clear" w:color="auto" w:fill="auto"/>
            <w:vAlign w:val="center"/>
          </w:tcPr>
          <w:p w14:paraId="5F49A795" w14:textId="29AAF8CC" w:rsidR="00F36E05" w:rsidRPr="0098602B" w:rsidRDefault="00A23B22" w:rsidP="00F36E05">
            <w:pPr>
              <w:pStyle w:val="Default"/>
              <w:rPr>
                <w:bCs/>
                <w:color w:val="auto"/>
              </w:rPr>
            </w:pPr>
            <w:r>
              <w:rPr>
                <w:bCs/>
                <w:color w:val="auto"/>
              </w:rPr>
              <w:t>9.3(h</w:t>
            </w:r>
            <w:r w:rsidR="00F36E05" w:rsidRPr="0098602B">
              <w:rPr>
                <w:bCs/>
                <w:color w:val="auto"/>
              </w:rPr>
              <w:t>)</w:t>
            </w:r>
          </w:p>
        </w:tc>
        <w:tc>
          <w:tcPr>
            <w:tcW w:w="6237" w:type="dxa"/>
            <w:tcBorders>
              <w:bottom w:val="single" w:sz="4" w:space="0" w:color="auto"/>
            </w:tcBorders>
            <w:shd w:val="clear" w:color="auto" w:fill="auto"/>
            <w:vAlign w:val="center"/>
          </w:tcPr>
          <w:p w14:paraId="729EE9E1" w14:textId="2F688AB6" w:rsidR="00F36E05" w:rsidRPr="0098602B" w:rsidRDefault="00F36E05">
            <w:pPr>
              <w:rPr>
                <w:u w:val="single"/>
              </w:rPr>
            </w:pPr>
            <w:r w:rsidRPr="0098602B">
              <w:rPr>
                <w:u w:val="single"/>
              </w:rPr>
              <w:t>The Chief Executive can authorise Council officers to carry out work for or on behalf of other local authorities</w:t>
            </w:r>
            <w:r w:rsidR="00D16048" w:rsidRPr="0098602B">
              <w:rPr>
                <w:u w:val="single"/>
              </w:rPr>
              <w:t xml:space="preserve"> when a delegation from a local authority has been accepted (Part 3.9)</w:t>
            </w:r>
            <w:r w:rsidRPr="0098602B">
              <w:rPr>
                <w:u w:val="single"/>
              </w:rPr>
              <w:t>.</w:t>
            </w:r>
            <w:r w:rsidR="00D16048" w:rsidRPr="0098602B">
              <w:rPr>
                <w:u w:val="single"/>
              </w:rPr>
              <w:t xml:space="preserve"> Any such authorisation should be recorded when given. The Chief Executive will report to the Appointments Committee if any authorisations are given to officers to carry out such work </w:t>
            </w:r>
            <w:r w:rsidR="00E4213A" w:rsidRPr="0098602B">
              <w:rPr>
                <w:u w:val="single"/>
              </w:rPr>
              <w:t xml:space="preserve">on behalf of another authority </w:t>
            </w:r>
            <w:r w:rsidR="00D16048" w:rsidRPr="0098602B">
              <w:rPr>
                <w:u w:val="single"/>
              </w:rPr>
              <w:t>(Part 7.8(g)).</w:t>
            </w:r>
          </w:p>
          <w:p w14:paraId="27AED992" w14:textId="592865F4" w:rsidR="00F36E05" w:rsidRPr="0098602B" w:rsidRDefault="00F36E05">
            <w:pPr>
              <w:rPr>
                <w:u w:val="single"/>
              </w:rPr>
            </w:pPr>
          </w:p>
        </w:tc>
      </w:tr>
      <w:tr w:rsidR="0098602B" w:rsidRPr="0098602B" w14:paraId="5750C448" w14:textId="77777777" w:rsidTr="00F3216D">
        <w:trPr>
          <w:trHeight w:val="561"/>
        </w:trPr>
        <w:tc>
          <w:tcPr>
            <w:tcW w:w="1162" w:type="dxa"/>
            <w:tcBorders>
              <w:bottom w:val="single" w:sz="4" w:space="0" w:color="auto"/>
            </w:tcBorders>
            <w:shd w:val="clear" w:color="auto" w:fill="auto"/>
            <w:vAlign w:val="center"/>
          </w:tcPr>
          <w:p w14:paraId="2E7F6399" w14:textId="0BD3E20C" w:rsidR="00F36E05" w:rsidRPr="0098602B" w:rsidRDefault="00F36E05" w:rsidP="00F36E05">
            <w:pPr>
              <w:jc w:val="center"/>
              <w:rPr>
                <w:sz w:val="23"/>
                <w:szCs w:val="23"/>
              </w:rPr>
            </w:pPr>
            <w:r w:rsidRPr="0098602B">
              <w:rPr>
                <w:sz w:val="23"/>
                <w:szCs w:val="23"/>
              </w:rPr>
              <w:t>9.4</w:t>
            </w:r>
          </w:p>
        </w:tc>
        <w:tc>
          <w:tcPr>
            <w:tcW w:w="6521" w:type="dxa"/>
            <w:tcBorders>
              <w:bottom w:val="single" w:sz="4" w:space="0" w:color="auto"/>
            </w:tcBorders>
          </w:tcPr>
          <w:p w14:paraId="2185DBE2" w14:textId="4B36EA71" w:rsidR="00F36E05" w:rsidRPr="0098602B" w:rsidRDefault="00F36E05">
            <w:pPr>
              <w:rPr>
                <w:b/>
              </w:rPr>
            </w:pPr>
            <w:r w:rsidRPr="0098602B">
              <w:rPr>
                <w:b/>
              </w:rPr>
              <w:t>Protection of freedoms</w:t>
            </w:r>
          </w:p>
          <w:p w14:paraId="7237DC72" w14:textId="77777777" w:rsidR="00F36E05" w:rsidRPr="0098602B" w:rsidRDefault="00F36E05"/>
          <w:p w14:paraId="2CEDA4DB" w14:textId="1BC30D7B" w:rsidR="00F36E05" w:rsidRPr="0098602B" w:rsidRDefault="00F36E05">
            <w:r w:rsidRPr="0098602B">
              <w:t xml:space="preserve">Add delegated power to the role of the Monitoring Officer to act as the Senior Responsible Officer under the Protection of Freedoms Act 2012. </w:t>
            </w:r>
          </w:p>
          <w:p w14:paraId="52976D94" w14:textId="77777777" w:rsidR="00F36E05" w:rsidRPr="0098602B" w:rsidRDefault="00F36E05"/>
          <w:p w14:paraId="681CB2CE" w14:textId="377ED582" w:rsidR="00F36E05" w:rsidRPr="0098602B" w:rsidRDefault="00F36E05">
            <w:r w:rsidRPr="0098602B">
              <w:rPr>
                <w:b/>
              </w:rPr>
              <w:t xml:space="preserve">Rationale: </w:t>
            </w:r>
            <w:r w:rsidRPr="0098602B">
              <w:t>To include and clarify who has this responsibility.</w:t>
            </w:r>
          </w:p>
        </w:tc>
        <w:tc>
          <w:tcPr>
            <w:tcW w:w="1277" w:type="dxa"/>
            <w:tcBorders>
              <w:bottom w:val="single" w:sz="4" w:space="0" w:color="auto"/>
            </w:tcBorders>
            <w:shd w:val="clear" w:color="auto" w:fill="auto"/>
            <w:vAlign w:val="center"/>
          </w:tcPr>
          <w:p w14:paraId="30047AF4" w14:textId="4DB0C8D1" w:rsidR="00F36E05" w:rsidRPr="0098602B" w:rsidRDefault="00F36E05" w:rsidP="00F36E05">
            <w:pPr>
              <w:pStyle w:val="Default"/>
              <w:rPr>
                <w:bCs/>
                <w:color w:val="auto"/>
              </w:rPr>
            </w:pPr>
            <w:r w:rsidRPr="0098602B">
              <w:rPr>
                <w:bCs/>
                <w:color w:val="auto"/>
              </w:rPr>
              <w:t>9.4(h)</w:t>
            </w:r>
          </w:p>
        </w:tc>
        <w:tc>
          <w:tcPr>
            <w:tcW w:w="6237" w:type="dxa"/>
            <w:tcBorders>
              <w:bottom w:val="single" w:sz="4" w:space="0" w:color="auto"/>
            </w:tcBorders>
            <w:shd w:val="clear" w:color="auto" w:fill="auto"/>
            <w:vAlign w:val="center"/>
          </w:tcPr>
          <w:p w14:paraId="417A5D98" w14:textId="05944D82" w:rsidR="00F36E05" w:rsidRPr="0098602B" w:rsidRDefault="00F36E05">
            <w:pPr>
              <w:rPr>
                <w:u w:val="single"/>
              </w:rPr>
            </w:pPr>
            <w:r w:rsidRPr="0098602B">
              <w:rPr>
                <w:u w:val="single"/>
              </w:rPr>
              <w:t xml:space="preserve">(h) Protection of Freedoms Act 2012 </w:t>
            </w:r>
          </w:p>
          <w:p w14:paraId="4F085975" w14:textId="77777777" w:rsidR="00F36E05" w:rsidRPr="0098602B" w:rsidRDefault="00F36E05">
            <w:pPr>
              <w:rPr>
                <w:u w:val="single"/>
              </w:rPr>
            </w:pPr>
          </w:p>
          <w:p w14:paraId="36EDAE9E" w14:textId="066BD3A1" w:rsidR="00F36E05" w:rsidRPr="0098602B" w:rsidRDefault="00F36E05">
            <w:r w:rsidRPr="0098602B">
              <w:rPr>
                <w:u w:val="single"/>
              </w:rPr>
              <w:t>The Monitoring Officer will perform the role of the Senior Responsible Officer for the Council.</w:t>
            </w:r>
          </w:p>
        </w:tc>
      </w:tr>
      <w:tr w:rsidR="0098602B" w:rsidRPr="0098602B" w14:paraId="23BEBF80" w14:textId="77777777" w:rsidTr="00F3216D">
        <w:trPr>
          <w:trHeight w:val="561"/>
        </w:trPr>
        <w:tc>
          <w:tcPr>
            <w:tcW w:w="1162" w:type="dxa"/>
            <w:tcBorders>
              <w:bottom w:val="single" w:sz="4" w:space="0" w:color="auto"/>
            </w:tcBorders>
            <w:shd w:val="clear" w:color="auto" w:fill="auto"/>
            <w:vAlign w:val="center"/>
          </w:tcPr>
          <w:p w14:paraId="56D33619" w14:textId="4420B6FB" w:rsidR="00F36E05" w:rsidRPr="0098602B" w:rsidRDefault="00F36E05" w:rsidP="00F36E05">
            <w:pPr>
              <w:jc w:val="center"/>
              <w:rPr>
                <w:sz w:val="23"/>
                <w:szCs w:val="23"/>
              </w:rPr>
            </w:pPr>
            <w:r w:rsidRPr="0098602B">
              <w:rPr>
                <w:sz w:val="23"/>
                <w:szCs w:val="23"/>
              </w:rPr>
              <w:t>9.4</w:t>
            </w:r>
          </w:p>
        </w:tc>
        <w:tc>
          <w:tcPr>
            <w:tcW w:w="6521" w:type="dxa"/>
            <w:tcBorders>
              <w:bottom w:val="single" w:sz="4" w:space="0" w:color="auto"/>
            </w:tcBorders>
          </w:tcPr>
          <w:p w14:paraId="14CCC31A" w14:textId="00D3777A" w:rsidR="00F36E05" w:rsidRPr="0098602B" w:rsidRDefault="00F36E05">
            <w:pPr>
              <w:rPr>
                <w:b/>
              </w:rPr>
            </w:pPr>
            <w:r w:rsidRPr="0098602B">
              <w:rPr>
                <w:b/>
              </w:rPr>
              <w:t>Data Protection Officer</w:t>
            </w:r>
          </w:p>
          <w:p w14:paraId="0E656BF4" w14:textId="77777777" w:rsidR="00F36E05" w:rsidRPr="0098602B" w:rsidRDefault="00F36E05"/>
          <w:p w14:paraId="61003D85" w14:textId="7F0334B3" w:rsidR="00F36E05" w:rsidRPr="0098602B" w:rsidRDefault="00F36E05">
            <w:r w:rsidRPr="0098602B">
              <w:t>Add delegated powers to the role of the Monitoring Officer to act as the Data Protection Officer under the GDPR 2015.</w:t>
            </w:r>
          </w:p>
          <w:p w14:paraId="1F82D3F1" w14:textId="77777777" w:rsidR="00646ADF" w:rsidRPr="0098602B" w:rsidRDefault="00646ADF"/>
          <w:p w14:paraId="6E2822A5" w14:textId="2DCC61E7" w:rsidR="00646ADF" w:rsidRPr="0098602B" w:rsidRDefault="00646ADF">
            <w:r w:rsidRPr="0098602B">
              <w:t xml:space="preserve">*The reference to the GDPR will be updated under the MO’s delegated powers as it will </w:t>
            </w:r>
            <w:r w:rsidRPr="0098602B">
              <w:lastRenderedPageBreak/>
              <w:t>change before the new version of the Constitution is adopted.</w:t>
            </w:r>
          </w:p>
          <w:p w14:paraId="506B413D" w14:textId="77777777" w:rsidR="00F36E05" w:rsidRPr="0098602B" w:rsidRDefault="00F36E05"/>
          <w:p w14:paraId="7FCF3771" w14:textId="2A0D66F7" w:rsidR="00F36E05" w:rsidRPr="0098602B" w:rsidRDefault="00F36E05">
            <w:r w:rsidRPr="0098602B">
              <w:rPr>
                <w:b/>
              </w:rPr>
              <w:t xml:space="preserve">Rationale: </w:t>
            </w:r>
            <w:r w:rsidRPr="0098602B">
              <w:t>To include and clarify who has this responsibility.</w:t>
            </w:r>
          </w:p>
        </w:tc>
        <w:tc>
          <w:tcPr>
            <w:tcW w:w="1277" w:type="dxa"/>
            <w:tcBorders>
              <w:bottom w:val="single" w:sz="4" w:space="0" w:color="auto"/>
            </w:tcBorders>
            <w:shd w:val="clear" w:color="auto" w:fill="auto"/>
            <w:vAlign w:val="center"/>
          </w:tcPr>
          <w:p w14:paraId="4B8EEC80" w14:textId="33B0A64C" w:rsidR="00F36E05" w:rsidRPr="0098602B" w:rsidRDefault="00F36E05" w:rsidP="00F36E05">
            <w:pPr>
              <w:pStyle w:val="Default"/>
              <w:rPr>
                <w:bCs/>
                <w:color w:val="auto"/>
              </w:rPr>
            </w:pPr>
            <w:r w:rsidRPr="0098602B">
              <w:rPr>
                <w:bCs/>
                <w:color w:val="auto"/>
              </w:rPr>
              <w:lastRenderedPageBreak/>
              <w:t>9.4(</w:t>
            </w:r>
            <w:proofErr w:type="spellStart"/>
            <w:r w:rsidRPr="0098602B">
              <w:rPr>
                <w:bCs/>
                <w:color w:val="auto"/>
              </w:rPr>
              <w:t>i</w:t>
            </w:r>
            <w:proofErr w:type="spellEnd"/>
            <w:r w:rsidRPr="0098602B">
              <w:rPr>
                <w:bCs/>
                <w:color w:val="auto"/>
              </w:rPr>
              <w:t>)</w:t>
            </w:r>
          </w:p>
        </w:tc>
        <w:tc>
          <w:tcPr>
            <w:tcW w:w="6237" w:type="dxa"/>
            <w:tcBorders>
              <w:bottom w:val="single" w:sz="4" w:space="0" w:color="auto"/>
            </w:tcBorders>
            <w:shd w:val="clear" w:color="auto" w:fill="auto"/>
            <w:vAlign w:val="center"/>
          </w:tcPr>
          <w:p w14:paraId="1D196165" w14:textId="57117D09" w:rsidR="00F36E05" w:rsidRPr="0098602B" w:rsidRDefault="00F36E05">
            <w:pPr>
              <w:rPr>
                <w:u w:val="single"/>
              </w:rPr>
            </w:pPr>
            <w:r w:rsidRPr="0098602B">
              <w:rPr>
                <w:u w:val="single"/>
              </w:rPr>
              <w:t>(</w:t>
            </w:r>
            <w:proofErr w:type="spellStart"/>
            <w:r w:rsidRPr="0098602B">
              <w:rPr>
                <w:u w:val="single"/>
              </w:rPr>
              <w:t>i</w:t>
            </w:r>
            <w:proofErr w:type="spellEnd"/>
            <w:r w:rsidRPr="0098602B">
              <w:rPr>
                <w:u w:val="single"/>
              </w:rPr>
              <w:t>) General Data Protection Regulation 2015 (EU 2016/679) and Data Protection Act 2018.</w:t>
            </w:r>
          </w:p>
          <w:p w14:paraId="7BB9BE19" w14:textId="77777777" w:rsidR="00F36E05" w:rsidRPr="0098602B" w:rsidRDefault="00F36E05">
            <w:pPr>
              <w:rPr>
                <w:u w:val="single"/>
              </w:rPr>
            </w:pPr>
          </w:p>
          <w:p w14:paraId="760BDEBA" w14:textId="18441FA5" w:rsidR="00F36E05" w:rsidRPr="0098602B" w:rsidRDefault="00F36E05">
            <w:pPr>
              <w:rPr>
                <w:u w:val="single"/>
              </w:rPr>
            </w:pPr>
            <w:r w:rsidRPr="0098602B">
              <w:rPr>
                <w:u w:val="single"/>
              </w:rPr>
              <w:t>The Monitoring Officer will perform the role of Data Protection Officer for the Council.</w:t>
            </w:r>
          </w:p>
          <w:p w14:paraId="4513CD7B" w14:textId="1AD958EE" w:rsidR="00F36E05" w:rsidRPr="0098602B" w:rsidRDefault="00F36E05"/>
        </w:tc>
      </w:tr>
      <w:tr w:rsidR="0098602B" w:rsidRPr="0098602B" w14:paraId="2ABEAF49" w14:textId="77777777" w:rsidTr="00F3216D">
        <w:trPr>
          <w:trHeight w:val="561"/>
        </w:trPr>
        <w:tc>
          <w:tcPr>
            <w:tcW w:w="1162" w:type="dxa"/>
            <w:tcBorders>
              <w:bottom w:val="single" w:sz="4" w:space="0" w:color="auto"/>
            </w:tcBorders>
            <w:shd w:val="clear" w:color="auto" w:fill="F2F2F2" w:themeFill="background1" w:themeFillShade="F2"/>
            <w:vAlign w:val="center"/>
          </w:tcPr>
          <w:p w14:paraId="53AAE8C2" w14:textId="3E292F80" w:rsidR="00F36E05" w:rsidRPr="0098602B" w:rsidRDefault="00F36E05" w:rsidP="00F36E05">
            <w:pPr>
              <w:jc w:val="center"/>
              <w:rPr>
                <w:b/>
                <w:sz w:val="23"/>
                <w:szCs w:val="23"/>
              </w:rPr>
            </w:pPr>
            <w:r w:rsidRPr="0098602B">
              <w:rPr>
                <w:b/>
                <w:sz w:val="23"/>
                <w:szCs w:val="23"/>
              </w:rPr>
              <w:t>Part 10</w:t>
            </w:r>
          </w:p>
        </w:tc>
        <w:tc>
          <w:tcPr>
            <w:tcW w:w="6521" w:type="dxa"/>
            <w:tcBorders>
              <w:bottom w:val="single" w:sz="4" w:space="0" w:color="auto"/>
              <w:right w:val="nil"/>
            </w:tcBorders>
            <w:shd w:val="clear" w:color="auto" w:fill="F2F2F2" w:themeFill="background1" w:themeFillShade="F2"/>
          </w:tcPr>
          <w:p w14:paraId="5EB03C7B" w14:textId="77777777" w:rsidR="00F36E05" w:rsidRPr="0098602B" w:rsidRDefault="00F36E05">
            <w:pPr>
              <w:spacing w:before="120" w:after="120"/>
              <w:rPr>
                <w:b/>
              </w:rPr>
            </w:pPr>
            <w:r w:rsidRPr="0098602B">
              <w:rPr>
                <w:b/>
              </w:rPr>
              <w:t xml:space="preserve">Proper Officer </w:t>
            </w:r>
          </w:p>
        </w:tc>
        <w:tc>
          <w:tcPr>
            <w:tcW w:w="1277" w:type="dxa"/>
            <w:tcBorders>
              <w:left w:val="nil"/>
              <w:bottom w:val="single" w:sz="4" w:space="0" w:color="auto"/>
              <w:right w:val="nil"/>
            </w:tcBorders>
            <w:shd w:val="clear" w:color="auto" w:fill="F2F2F2" w:themeFill="background1" w:themeFillShade="F2"/>
            <w:vAlign w:val="center"/>
          </w:tcPr>
          <w:p w14:paraId="2A0D2B01" w14:textId="77777777" w:rsidR="00F36E05" w:rsidRPr="0098602B" w:rsidRDefault="00F36E05" w:rsidP="00F36E05">
            <w:pPr>
              <w:pStyle w:val="Default"/>
              <w:rPr>
                <w:bCs/>
                <w:color w:val="auto"/>
              </w:rPr>
            </w:pPr>
          </w:p>
        </w:tc>
        <w:tc>
          <w:tcPr>
            <w:tcW w:w="6237" w:type="dxa"/>
            <w:tcBorders>
              <w:left w:val="nil"/>
              <w:bottom w:val="single" w:sz="4" w:space="0" w:color="auto"/>
            </w:tcBorders>
            <w:shd w:val="clear" w:color="auto" w:fill="F2F2F2" w:themeFill="background1" w:themeFillShade="F2"/>
            <w:vAlign w:val="center"/>
          </w:tcPr>
          <w:p w14:paraId="5637838E" w14:textId="77777777" w:rsidR="00F36E05" w:rsidRPr="0098602B" w:rsidRDefault="00F36E05">
            <w:pPr>
              <w:rPr>
                <w:u w:val="single"/>
              </w:rPr>
            </w:pPr>
          </w:p>
        </w:tc>
      </w:tr>
      <w:tr w:rsidR="0098602B" w:rsidRPr="0098602B" w14:paraId="2327601A" w14:textId="77777777" w:rsidTr="00F3216D">
        <w:trPr>
          <w:trHeight w:val="561"/>
        </w:trPr>
        <w:tc>
          <w:tcPr>
            <w:tcW w:w="1162" w:type="dxa"/>
            <w:tcBorders>
              <w:bottom w:val="single" w:sz="4" w:space="0" w:color="auto"/>
            </w:tcBorders>
            <w:shd w:val="clear" w:color="auto" w:fill="auto"/>
            <w:vAlign w:val="center"/>
          </w:tcPr>
          <w:p w14:paraId="70574F0B" w14:textId="77777777" w:rsidR="00F36E05" w:rsidRPr="0098602B" w:rsidRDefault="00F36E05" w:rsidP="00F36E05">
            <w:pPr>
              <w:jc w:val="center"/>
              <w:rPr>
                <w:sz w:val="23"/>
                <w:szCs w:val="23"/>
              </w:rPr>
            </w:pPr>
          </w:p>
        </w:tc>
        <w:tc>
          <w:tcPr>
            <w:tcW w:w="6521" w:type="dxa"/>
            <w:tcBorders>
              <w:bottom w:val="single" w:sz="4" w:space="0" w:color="auto"/>
              <w:right w:val="single" w:sz="4" w:space="0" w:color="auto"/>
            </w:tcBorders>
            <w:shd w:val="clear" w:color="auto" w:fill="auto"/>
          </w:tcPr>
          <w:p w14:paraId="1CA620E1" w14:textId="54190EB2" w:rsidR="00F36E05" w:rsidRPr="0098602B" w:rsidRDefault="00F36E05">
            <w:pPr>
              <w:spacing w:before="120" w:after="120"/>
              <w:rPr>
                <w:b/>
              </w:rPr>
            </w:pPr>
            <w:r w:rsidRPr="0098602B">
              <w:rPr>
                <w:b/>
              </w:rPr>
              <w:t>Fraud investigations</w:t>
            </w:r>
          </w:p>
          <w:p w14:paraId="3774C511" w14:textId="6BBBFD48" w:rsidR="00F36E05" w:rsidRPr="0098602B" w:rsidRDefault="00F36E05">
            <w:pPr>
              <w:spacing w:before="120" w:after="120"/>
            </w:pPr>
            <w:r w:rsidRPr="0098602B">
              <w:t>Include reference to the authorisations that the Head of Financial Services makes in connection with the work of the Fraud Investigations Team (Proper Officer list).</w:t>
            </w:r>
          </w:p>
          <w:p w14:paraId="39232B44" w14:textId="77777777" w:rsidR="00F36E05" w:rsidRPr="0098602B" w:rsidRDefault="00F36E05">
            <w:pPr>
              <w:spacing w:before="120" w:after="120"/>
            </w:pPr>
          </w:p>
          <w:p w14:paraId="15B8F78B" w14:textId="07172C83" w:rsidR="00F36E05" w:rsidRPr="0098602B" w:rsidRDefault="00F36E05">
            <w:pPr>
              <w:spacing w:before="120" w:after="120"/>
              <w:rPr>
                <w:b/>
              </w:rPr>
            </w:pPr>
            <w:r w:rsidRPr="0098602B">
              <w:rPr>
                <w:b/>
              </w:rPr>
              <w:t xml:space="preserve">Rationale: </w:t>
            </w:r>
            <w:r w:rsidRPr="0098602B">
              <w:t>To include and clarify who has this responsibility.</w:t>
            </w:r>
          </w:p>
        </w:tc>
        <w:tc>
          <w:tcPr>
            <w:tcW w:w="1277" w:type="dxa"/>
            <w:tcBorders>
              <w:left w:val="single" w:sz="4" w:space="0" w:color="auto"/>
              <w:bottom w:val="single" w:sz="4" w:space="0" w:color="auto"/>
              <w:right w:val="single" w:sz="4" w:space="0" w:color="auto"/>
            </w:tcBorders>
            <w:shd w:val="clear" w:color="auto" w:fill="auto"/>
            <w:vAlign w:val="center"/>
          </w:tcPr>
          <w:p w14:paraId="73FD4538" w14:textId="77777777" w:rsidR="00F36E05" w:rsidRPr="0098602B" w:rsidRDefault="00F36E05" w:rsidP="00F36E05">
            <w:pPr>
              <w:pStyle w:val="Default"/>
              <w:rPr>
                <w:bCs/>
                <w:color w:val="auto"/>
              </w:rPr>
            </w:pPr>
          </w:p>
        </w:tc>
        <w:tc>
          <w:tcPr>
            <w:tcW w:w="6237" w:type="dxa"/>
            <w:tcBorders>
              <w:left w:val="single" w:sz="4" w:space="0" w:color="auto"/>
              <w:bottom w:val="single" w:sz="4" w:space="0" w:color="auto"/>
            </w:tcBorders>
            <w:shd w:val="clear" w:color="auto" w:fill="auto"/>
            <w:vAlign w:val="center"/>
          </w:tcPr>
          <w:p w14:paraId="1F177B7C" w14:textId="5519E276" w:rsidR="00A23B22" w:rsidRDefault="00A23B22">
            <w:r w:rsidRPr="00A23B22">
              <w:t>10.2</w:t>
            </w:r>
            <w:r>
              <w:t xml:space="preserve"> Responsibilities of proper officers</w:t>
            </w:r>
          </w:p>
          <w:p w14:paraId="6003866A" w14:textId="77777777" w:rsidR="00A23B22" w:rsidRDefault="00A23B22"/>
          <w:p w14:paraId="6E24EFB0" w14:textId="77777777" w:rsidR="00A23B22" w:rsidRDefault="00A23B22">
            <w:r>
              <w:t>….</w:t>
            </w:r>
          </w:p>
          <w:p w14:paraId="5C589458" w14:textId="77777777" w:rsidR="00A23B22" w:rsidRDefault="00A23B22"/>
          <w:p w14:paraId="2FBFE306" w14:textId="70C412AF" w:rsidR="00A23B22" w:rsidRPr="00A23B22" w:rsidRDefault="00A23B22">
            <w:pPr>
              <w:rPr>
                <w:i/>
              </w:rPr>
            </w:pPr>
            <w:r>
              <w:rPr>
                <w:i/>
              </w:rPr>
              <w:t>(add to “T</w:t>
            </w:r>
            <w:r w:rsidRPr="00A23B22">
              <w:rPr>
                <w:i/>
              </w:rPr>
              <w:t>able</w:t>
            </w:r>
            <w:r>
              <w:rPr>
                <w:i/>
              </w:rPr>
              <w:t xml:space="preserve"> of proper officer’s responsibilities”</w:t>
            </w:r>
            <w:r w:rsidRPr="00A23B22">
              <w:rPr>
                <w:i/>
              </w:rPr>
              <w:t>)</w:t>
            </w:r>
            <w:r>
              <w:rPr>
                <w:i/>
              </w:rPr>
              <w:t>:</w:t>
            </w:r>
          </w:p>
          <w:p w14:paraId="62E90190" w14:textId="77777777" w:rsidR="00A23B22" w:rsidRDefault="00A23B22">
            <w:pPr>
              <w:rPr>
                <w:u w:val="single"/>
              </w:rPr>
            </w:pPr>
          </w:p>
          <w:p w14:paraId="18F67F90" w14:textId="77777777" w:rsidR="00F36E05" w:rsidRPr="0098602B" w:rsidRDefault="00F36E05">
            <w:pPr>
              <w:rPr>
                <w:u w:val="single"/>
              </w:rPr>
            </w:pPr>
            <w:r w:rsidRPr="0098602B">
              <w:rPr>
                <w:u w:val="single"/>
              </w:rPr>
              <w:t>Social Security Administration Act 1992</w:t>
            </w:r>
          </w:p>
          <w:p w14:paraId="64E8685F" w14:textId="77777777" w:rsidR="00F36E05" w:rsidRPr="0098602B" w:rsidRDefault="00F36E05">
            <w:pPr>
              <w:rPr>
                <w:u w:val="single"/>
              </w:rPr>
            </w:pPr>
            <w:r w:rsidRPr="0098602B">
              <w:rPr>
                <w:u w:val="single"/>
              </w:rPr>
              <w:t>Section 110A</w:t>
            </w:r>
          </w:p>
          <w:p w14:paraId="0E1CE8EC" w14:textId="0F3099A7" w:rsidR="00F36E05" w:rsidRPr="0098602B" w:rsidRDefault="00F36E05">
            <w:pPr>
              <w:rPr>
                <w:u w:val="single"/>
              </w:rPr>
            </w:pPr>
            <w:r w:rsidRPr="0098602B">
              <w:rPr>
                <w:u w:val="single"/>
              </w:rPr>
              <w:t>Issuing Authorisations</w:t>
            </w:r>
          </w:p>
          <w:p w14:paraId="56555840" w14:textId="2D0DB95D" w:rsidR="00F36E05" w:rsidRPr="0098602B" w:rsidRDefault="00F36E05" w:rsidP="00A23B22">
            <w:pPr>
              <w:rPr>
                <w:u w:val="single"/>
              </w:rPr>
            </w:pPr>
            <w:r w:rsidRPr="0098602B">
              <w:rPr>
                <w:u w:val="single"/>
              </w:rPr>
              <w:t>Proper Officer – Head Of Financial Services</w:t>
            </w:r>
          </w:p>
        </w:tc>
      </w:tr>
      <w:tr w:rsidR="0098602B" w:rsidRPr="0098602B" w14:paraId="763BA8B7" w14:textId="77777777" w:rsidTr="00F3216D">
        <w:trPr>
          <w:trHeight w:val="561"/>
        </w:trPr>
        <w:tc>
          <w:tcPr>
            <w:tcW w:w="1162" w:type="dxa"/>
            <w:shd w:val="clear" w:color="auto" w:fill="F2F2F2"/>
          </w:tcPr>
          <w:p w14:paraId="389E788C" w14:textId="02486E66" w:rsidR="00F36E05" w:rsidRPr="0098602B" w:rsidRDefault="00F36E05" w:rsidP="00A558D1">
            <w:pPr>
              <w:spacing w:before="120"/>
              <w:rPr>
                <w:b/>
                <w:bCs/>
              </w:rPr>
            </w:pPr>
            <w:r w:rsidRPr="0098602B">
              <w:rPr>
                <w:b/>
                <w:bCs/>
              </w:rPr>
              <w:t>Part 11</w:t>
            </w:r>
          </w:p>
        </w:tc>
        <w:tc>
          <w:tcPr>
            <w:tcW w:w="14035" w:type="dxa"/>
            <w:gridSpan w:val="3"/>
            <w:shd w:val="clear" w:color="auto" w:fill="F2F2F2"/>
          </w:tcPr>
          <w:p w14:paraId="3283680E" w14:textId="77777777" w:rsidR="00F36E05" w:rsidRPr="0098602B" w:rsidRDefault="00F36E05">
            <w:pPr>
              <w:spacing w:before="120"/>
              <w:rPr>
                <w:b/>
                <w:sz w:val="23"/>
                <w:szCs w:val="23"/>
              </w:rPr>
            </w:pPr>
            <w:r w:rsidRPr="0098602B">
              <w:rPr>
                <w:b/>
              </w:rPr>
              <w:t>Council procedures</w:t>
            </w:r>
          </w:p>
        </w:tc>
      </w:tr>
      <w:tr w:rsidR="0098602B" w:rsidRPr="0098602B" w14:paraId="6F8AC470" w14:textId="77777777" w:rsidTr="00F3216D">
        <w:trPr>
          <w:trHeight w:val="561"/>
        </w:trPr>
        <w:tc>
          <w:tcPr>
            <w:tcW w:w="1162" w:type="dxa"/>
            <w:tcBorders>
              <w:bottom w:val="single" w:sz="4" w:space="0" w:color="auto"/>
            </w:tcBorders>
            <w:shd w:val="clear" w:color="auto" w:fill="auto"/>
            <w:vAlign w:val="center"/>
          </w:tcPr>
          <w:p w14:paraId="69C46732" w14:textId="77777777" w:rsidR="00F36E05" w:rsidRPr="0098602B" w:rsidRDefault="00F36E05" w:rsidP="00F36E05">
            <w:pPr>
              <w:jc w:val="center"/>
              <w:rPr>
                <w:bCs/>
              </w:rPr>
            </w:pPr>
            <w:r w:rsidRPr="0098602B">
              <w:rPr>
                <w:bCs/>
              </w:rPr>
              <w:t>11.4(e)</w:t>
            </w:r>
          </w:p>
        </w:tc>
        <w:tc>
          <w:tcPr>
            <w:tcW w:w="6521" w:type="dxa"/>
            <w:tcBorders>
              <w:bottom w:val="single" w:sz="4" w:space="0" w:color="auto"/>
            </w:tcBorders>
          </w:tcPr>
          <w:p w14:paraId="2EB7C69A" w14:textId="77777777" w:rsidR="00F36E05" w:rsidRPr="0098602B" w:rsidRDefault="00F36E05">
            <w:pPr>
              <w:spacing w:before="120"/>
              <w:rPr>
                <w:b/>
              </w:rPr>
            </w:pPr>
            <w:r w:rsidRPr="0098602B">
              <w:rPr>
                <w:b/>
              </w:rPr>
              <w:t>Budget debate procedure</w:t>
            </w:r>
          </w:p>
          <w:p w14:paraId="5B4AC8D3" w14:textId="151F96C0" w:rsidR="00F36E05" w:rsidRPr="0098602B" w:rsidRDefault="00F36E05">
            <w:r w:rsidRPr="0098602B">
              <w:t>To remove the need for Budget Council to agree a procedure that is set out in the Constitution.</w:t>
            </w:r>
          </w:p>
          <w:p w14:paraId="7B8A15D5" w14:textId="77777777" w:rsidR="00F36E05" w:rsidRPr="0098602B" w:rsidRDefault="00F36E05"/>
          <w:p w14:paraId="6BFC4D23" w14:textId="77777777" w:rsidR="00F36E05" w:rsidRPr="0098602B" w:rsidRDefault="00F36E05">
            <w:pPr>
              <w:spacing w:before="120"/>
            </w:pPr>
            <w:r w:rsidRPr="0098602B">
              <w:rPr>
                <w:b/>
              </w:rPr>
              <w:t xml:space="preserve">Rationale: </w:t>
            </w:r>
            <w:r w:rsidRPr="0098602B">
              <w:t>To clarify that Budget Council will consider any amendments to the budget debate procedure but not the procedure itself which has previously been agreed by Council in the Constitution.</w:t>
            </w:r>
          </w:p>
          <w:p w14:paraId="5F074069" w14:textId="3AEE57CD" w:rsidR="00F36E05" w:rsidRPr="0098602B" w:rsidRDefault="00F36E05">
            <w:pPr>
              <w:spacing w:before="120"/>
            </w:pPr>
          </w:p>
        </w:tc>
        <w:tc>
          <w:tcPr>
            <w:tcW w:w="1277" w:type="dxa"/>
            <w:tcBorders>
              <w:bottom w:val="single" w:sz="4" w:space="0" w:color="auto"/>
            </w:tcBorders>
            <w:shd w:val="clear" w:color="auto" w:fill="auto"/>
            <w:vAlign w:val="center"/>
          </w:tcPr>
          <w:p w14:paraId="343EDC5A" w14:textId="0B70A4E6" w:rsidR="00F36E05" w:rsidRPr="0098602B" w:rsidRDefault="00F36E05" w:rsidP="00F36E05"/>
        </w:tc>
        <w:tc>
          <w:tcPr>
            <w:tcW w:w="6237" w:type="dxa"/>
            <w:tcBorders>
              <w:bottom w:val="single" w:sz="4" w:space="0" w:color="auto"/>
            </w:tcBorders>
            <w:shd w:val="clear" w:color="auto" w:fill="auto"/>
            <w:vAlign w:val="center"/>
          </w:tcPr>
          <w:p w14:paraId="327239F9" w14:textId="7009D784" w:rsidR="00F36E05" w:rsidRPr="0098602B" w:rsidRDefault="00F36E05">
            <w:r w:rsidRPr="0098602B">
              <w:t xml:space="preserve">11.4(e) </w:t>
            </w:r>
            <w:r w:rsidRPr="0098602B">
              <w:rPr>
                <w:strike/>
              </w:rPr>
              <w:t>Agreement of the time permitted for each stage in the procedure for the meeting and any amendments to this procedure</w:t>
            </w:r>
            <w:r w:rsidRPr="0098602B">
              <w:t xml:space="preserve">. </w:t>
            </w:r>
            <w:r w:rsidRPr="0098602B">
              <w:rPr>
                <w:u w:val="single"/>
              </w:rPr>
              <w:t>Consideration of any proposed amendments to the budget debate procedure.</w:t>
            </w:r>
          </w:p>
          <w:p w14:paraId="6A984B39" w14:textId="085650AE" w:rsidR="00F36E05" w:rsidRPr="0098602B" w:rsidRDefault="00F36E05">
            <w:pPr>
              <w:spacing w:before="120" w:after="120"/>
              <w:ind w:left="357"/>
            </w:pPr>
          </w:p>
        </w:tc>
      </w:tr>
      <w:tr w:rsidR="0098602B" w:rsidRPr="0098602B" w14:paraId="7A357B99" w14:textId="77777777" w:rsidTr="00F3216D">
        <w:trPr>
          <w:trHeight w:val="561"/>
        </w:trPr>
        <w:tc>
          <w:tcPr>
            <w:tcW w:w="1162" w:type="dxa"/>
            <w:tcBorders>
              <w:bottom w:val="single" w:sz="4" w:space="0" w:color="auto"/>
            </w:tcBorders>
            <w:shd w:val="clear" w:color="auto" w:fill="auto"/>
            <w:vAlign w:val="center"/>
          </w:tcPr>
          <w:p w14:paraId="4A5F11D1" w14:textId="77777777" w:rsidR="00D83CA6" w:rsidRPr="0098602B" w:rsidRDefault="00D83CA6" w:rsidP="00B87EAD">
            <w:pPr>
              <w:jc w:val="center"/>
              <w:rPr>
                <w:bCs/>
              </w:rPr>
            </w:pPr>
            <w:r w:rsidRPr="0098602B">
              <w:rPr>
                <w:bCs/>
              </w:rPr>
              <w:t>11.12(a)</w:t>
            </w:r>
          </w:p>
        </w:tc>
        <w:tc>
          <w:tcPr>
            <w:tcW w:w="6521" w:type="dxa"/>
            <w:tcBorders>
              <w:bottom w:val="single" w:sz="4" w:space="0" w:color="auto"/>
            </w:tcBorders>
          </w:tcPr>
          <w:p w14:paraId="3C3B6607" w14:textId="77777777" w:rsidR="00D83CA6" w:rsidRPr="0098602B" w:rsidRDefault="00D83CA6" w:rsidP="00B87EAD">
            <w:pPr>
              <w:spacing w:before="120"/>
              <w:rPr>
                <w:b/>
              </w:rPr>
            </w:pPr>
            <w:r w:rsidRPr="0098602B">
              <w:rPr>
                <w:b/>
              </w:rPr>
              <w:t>Public addresses</w:t>
            </w:r>
          </w:p>
          <w:p w14:paraId="4DC5F1FC" w14:textId="150B774B" w:rsidR="00D83CA6" w:rsidRPr="0098602B" w:rsidRDefault="00D83CA6" w:rsidP="00B87EAD">
            <w:pPr>
              <w:spacing w:before="120"/>
            </w:pPr>
            <w:r w:rsidRPr="0098602B">
              <w:t xml:space="preserve">To add a cross-reference the rule that priority will be given to hearing members of the public who have not spoken at Council within the last 12 months. </w:t>
            </w:r>
          </w:p>
          <w:p w14:paraId="3DE1296A" w14:textId="77777777" w:rsidR="00D83CA6" w:rsidRPr="0098602B" w:rsidRDefault="00D83CA6" w:rsidP="00B87EAD">
            <w:pPr>
              <w:spacing w:before="120"/>
            </w:pPr>
          </w:p>
          <w:p w14:paraId="01FE8B52" w14:textId="6A1C1A32" w:rsidR="00D83CA6" w:rsidRPr="0098602B" w:rsidRDefault="00D83CA6" w:rsidP="00B87EAD">
            <w:pPr>
              <w:spacing w:before="120"/>
            </w:pPr>
            <w:r w:rsidRPr="0098602B">
              <w:rPr>
                <w:b/>
              </w:rPr>
              <w:t>Rationale:</w:t>
            </w:r>
            <w:r w:rsidRPr="0098602B">
              <w:t xml:space="preserve"> To clarify the order in which public speakers will be heard.</w:t>
            </w:r>
          </w:p>
          <w:p w14:paraId="4A7BF92B" w14:textId="77777777" w:rsidR="00D83CA6" w:rsidRPr="0098602B" w:rsidRDefault="00D83CA6" w:rsidP="00B87EAD">
            <w:pPr>
              <w:spacing w:before="120"/>
              <w:rPr>
                <w:b/>
              </w:rPr>
            </w:pPr>
          </w:p>
        </w:tc>
        <w:tc>
          <w:tcPr>
            <w:tcW w:w="1277" w:type="dxa"/>
            <w:tcBorders>
              <w:bottom w:val="single" w:sz="4" w:space="0" w:color="auto"/>
            </w:tcBorders>
            <w:shd w:val="clear" w:color="auto" w:fill="auto"/>
            <w:vAlign w:val="center"/>
          </w:tcPr>
          <w:p w14:paraId="1112D658" w14:textId="77777777" w:rsidR="00D83CA6" w:rsidRPr="0098602B" w:rsidRDefault="00D83CA6" w:rsidP="00B87EAD"/>
        </w:tc>
        <w:tc>
          <w:tcPr>
            <w:tcW w:w="6237" w:type="dxa"/>
            <w:tcBorders>
              <w:bottom w:val="single" w:sz="4" w:space="0" w:color="auto"/>
            </w:tcBorders>
            <w:shd w:val="clear" w:color="auto" w:fill="auto"/>
            <w:vAlign w:val="center"/>
          </w:tcPr>
          <w:p w14:paraId="1AB59AC7" w14:textId="77777777" w:rsidR="00D83CA6" w:rsidRPr="0098602B" w:rsidRDefault="00D83CA6" w:rsidP="00B87EAD">
            <w:pPr>
              <w:rPr>
                <w:bCs/>
              </w:rPr>
            </w:pPr>
            <w:r w:rsidRPr="0098602B">
              <w:rPr>
                <w:bCs/>
              </w:rPr>
              <w:t>(a) Public addresses at Council</w:t>
            </w:r>
          </w:p>
          <w:p w14:paraId="3E34A91D" w14:textId="06CC03AB" w:rsidR="00D83CA6" w:rsidRPr="0098602B" w:rsidRDefault="00D83CA6" w:rsidP="00B87EAD">
            <w:pPr>
              <w:rPr>
                <w:bCs/>
              </w:rPr>
            </w:pPr>
            <w:r w:rsidRPr="0098602B">
              <w:rPr>
                <w:bCs/>
              </w:rPr>
              <w:t>Members of the public may address Council for up to five minutes. This can be about anything the Council is responsible for or something that directly affects people in the city or something for decision at the meeting. A member of the public making an address may be accompanied by up to three other members of the public.</w:t>
            </w:r>
          </w:p>
          <w:p w14:paraId="054890C9" w14:textId="77777777" w:rsidR="00D83CA6" w:rsidRPr="0098602B" w:rsidRDefault="00D83CA6" w:rsidP="00B87EAD">
            <w:pPr>
              <w:rPr>
                <w:bCs/>
              </w:rPr>
            </w:pPr>
            <w:r w:rsidRPr="0098602B">
              <w:rPr>
                <w:bCs/>
                <w:u w:val="single"/>
              </w:rPr>
              <w:t>Subject to 11.12(b)</w:t>
            </w:r>
            <w:r w:rsidRPr="0098602B">
              <w:rPr>
                <w:bCs/>
              </w:rPr>
              <w:t xml:space="preserve"> addresses will be taken in the order in which they are received by the Head of Law and Governance but at two points in the order of business, namely:</w:t>
            </w:r>
          </w:p>
          <w:p w14:paraId="4BE71AED" w14:textId="77777777" w:rsidR="00D83CA6" w:rsidRPr="0098602B" w:rsidRDefault="00D83CA6" w:rsidP="00B87EAD">
            <w:pPr>
              <w:pStyle w:val="ListParagraph"/>
              <w:numPr>
                <w:ilvl w:val="0"/>
                <w:numId w:val="22"/>
              </w:numPr>
              <w:rPr>
                <w:rFonts w:ascii="Arial" w:hAnsi="Arial" w:cs="Arial"/>
                <w:bCs/>
                <w:sz w:val="24"/>
                <w:szCs w:val="24"/>
              </w:rPr>
            </w:pPr>
            <w:r w:rsidRPr="0098602B">
              <w:rPr>
                <w:rFonts w:ascii="Arial" w:hAnsi="Arial" w:cs="Arial"/>
                <w:bCs/>
                <w:sz w:val="24"/>
                <w:szCs w:val="24"/>
              </w:rPr>
              <w:t>If the address relates to a matter for decision at the meeting, during Part 1 of the order of business (11.3 (g))</w:t>
            </w:r>
          </w:p>
          <w:p w14:paraId="7C00E0DE" w14:textId="77777777" w:rsidR="00D83CA6" w:rsidRPr="0098602B" w:rsidRDefault="00D83CA6" w:rsidP="00B87EAD">
            <w:pPr>
              <w:pStyle w:val="ListParagraph"/>
              <w:numPr>
                <w:ilvl w:val="0"/>
                <w:numId w:val="23"/>
              </w:numPr>
              <w:rPr>
                <w:rFonts w:ascii="Arial" w:hAnsi="Arial" w:cs="Arial"/>
                <w:bCs/>
                <w:sz w:val="24"/>
                <w:szCs w:val="24"/>
              </w:rPr>
            </w:pPr>
            <w:r w:rsidRPr="0098602B">
              <w:rPr>
                <w:rFonts w:ascii="Arial" w:hAnsi="Arial" w:cs="Arial"/>
                <w:bCs/>
                <w:sz w:val="24"/>
                <w:szCs w:val="24"/>
              </w:rPr>
              <w:t>If the address does not relate to a matter for decision at the meeting, during Part 2 of the order of business (11.3 (n))</w:t>
            </w:r>
          </w:p>
          <w:p w14:paraId="48BF9EA2" w14:textId="77777777" w:rsidR="00D83CA6" w:rsidRPr="0098602B" w:rsidRDefault="00D83CA6" w:rsidP="00B87EAD"/>
        </w:tc>
      </w:tr>
      <w:tr w:rsidR="007A0232" w:rsidRPr="0098602B" w14:paraId="06DA4640" w14:textId="77777777" w:rsidTr="00F3216D">
        <w:trPr>
          <w:trHeight w:val="561"/>
        </w:trPr>
        <w:tc>
          <w:tcPr>
            <w:tcW w:w="1162" w:type="dxa"/>
            <w:tcBorders>
              <w:bottom w:val="single" w:sz="4" w:space="0" w:color="auto"/>
            </w:tcBorders>
            <w:shd w:val="clear" w:color="auto" w:fill="auto"/>
            <w:vAlign w:val="center"/>
          </w:tcPr>
          <w:p w14:paraId="016104D0" w14:textId="6B8D01A9" w:rsidR="007A0232" w:rsidRPr="0098602B" w:rsidRDefault="007A0232" w:rsidP="007A0232">
            <w:pPr>
              <w:rPr>
                <w:bCs/>
              </w:rPr>
            </w:pPr>
            <w:r>
              <w:rPr>
                <w:bCs/>
              </w:rPr>
              <w:t>11.18(a)</w:t>
            </w:r>
          </w:p>
        </w:tc>
        <w:tc>
          <w:tcPr>
            <w:tcW w:w="6521" w:type="dxa"/>
            <w:tcBorders>
              <w:bottom w:val="single" w:sz="4" w:space="0" w:color="auto"/>
            </w:tcBorders>
          </w:tcPr>
          <w:p w14:paraId="1B85A848" w14:textId="77777777" w:rsidR="007A0232" w:rsidRDefault="007A0232" w:rsidP="007A0232">
            <w:pPr>
              <w:spacing w:before="120"/>
              <w:rPr>
                <w:b/>
              </w:rPr>
            </w:pPr>
            <w:r>
              <w:rPr>
                <w:b/>
              </w:rPr>
              <w:t xml:space="preserve">Motions on notice </w:t>
            </w:r>
          </w:p>
          <w:p w14:paraId="71959D9B" w14:textId="77777777" w:rsidR="007A0232" w:rsidRDefault="007A0232" w:rsidP="007A0232">
            <w:pPr>
              <w:spacing w:before="120"/>
            </w:pPr>
            <w:r w:rsidRPr="00667C33">
              <w:lastRenderedPageBreak/>
              <w:t xml:space="preserve">To make provision for emergency </w:t>
            </w:r>
            <w:r>
              <w:t xml:space="preserve">cross-party </w:t>
            </w:r>
            <w:r w:rsidRPr="00667C33">
              <w:t xml:space="preserve">motions to </w:t>
            </w:r>
            <w:r>
              <w:t xml:space="preserve">be submitted to Council after the normal deadline of 1.00pm seven clear working days before the meeting. Any such motions would not be listed on the main Council agenda (where a placeholder would be shown), but would appear in the briefing note at the top of the order of motions. </w:t>
            </w:r>
          </w:p>
          <w:p w14:paraId="13CC4024" w14:textId="77777777" w:rsidR="007A0232" w:rsidRDefault="007A0232" w:rsidP="007A0232">
            <w:pPr>
              <w:spacing w:before="120"/>
            </w:pPr>
            <w:r w:rsidRPr="00003D3B">
              <w:rPr>
                <w:b/>
              </w:rPr>
              <w:t>Rationale:</w:t>
            </w:r>
            <w:r>
              <w:rPr>
                <w:b/>
              </w:rPr>
              <w:t xml:space="preserve"> </w:t>
            </w:r>
            <w:r w:rsidRPr="00667C33">
              <w:t>To provide flexibility for Council to consider</w:t>
            </w:r>
            <w:r>
              <w:t xml:space="preserve"> </w:t>
            </w:r>
            <w:r w:rsidRPr="00667C33">
              <w:t>motions</w:t>
            </w:r>
            <w:r>
              <w:t xml:space="preserve"> at late notice where these are considered urgent and are supported by all the Leaders of political groups on the Council. </w:t>
            </w:r>
          </w:p>
          <w:p w14:paraId="02025B49" w14:textId="12A3BE97" w:rsidR="007A0232" w:rsidRPr="0098602B" w:rsidRDefault="007A0232" w:rsidP="007A0232">
            <w:pPr>
              <w:spacing w:before="120"/>
              <w:rPr>
                <w:b/>
              </w:rPr>
            </w:pPr>
          </w:p>
        </w:tc>
        <w:tc>
          <w:tcPr>
            <w:tcW w:w="1277" w:type="dxa"/>
            <w:tcBorders>
              <w:bottom w:val="single" w:sz="4" w:space="0" w:color="auto"/>
            </w:tcBorders>
            <w:shd w:val="clear" w:color="auto" w:fill="auto"/>
            <w:vAlign w:val="center"/>
          </w:tcPr>
          <w:p w14:paraId="2F74AA15" w14:textId="77777777" w:rsidR="007A0232" w:rsidRPr="0098602B" w:rsidRDefault="007A0232" w:rsidP="007A0232"/>
        </w:tc>
        <w:tc>
          <w:tcPr>
            <w:tcW w:w="6237" w:type="dxa"/>
            <w:tcBorders>
              <w:bottom w:val="single" w:sz="4" w:space="0" w:color="auto"/>
            </w:tcBorders>
            <w:shd w:val="clear" w:color="auto" w:fill="auto"/>
            <w:vAlign w:val="center"/>
          </w:tcPr>
          <w:p w14:paraId="2C5C953B" w14:textId="77777777" w:rsidR="007A0232" w:rsidRDefault="007A0232" w:rsidP="007A0232">
            <w:pPr>
              <w:autoSpaceDE w:val="0"/>
              <w:autoSpaceDN w:val="0"/>
              <w:adjustRightInd w:val="0"/>
              <w:rPr>
                <w:color w:val="000000"/>
                <w:lang w:eastAsia="en-GB"/>
              </w:rPr>
            </w:pPr>
          </w:p>
          <w:p w14:paraId="76D5CEE6" w14:textId="77777777" w:rsidR="007A0232" w:rsidRDefault="007A0232" w:rsidP="007A0232">
            <w:pPr>
              <w:autoSpaceDE w:val="0"/>
              <w:autoSpaceDN w:val="0"/>
              <w:adjustRightInd w:val="0"/>
              <w:rPr>
                <w:color w:val="000000"/>
                <w:lang w:eastAsia="en-GB"/>
              </w:rPr>
            </w:pPr>
            <w:r>
              <w:rPr>
                <w:color w:val="000000"/>
                <w:lang w:eastAsia="en-GB"/>
              </w:rPr>
              <w:t>(a) Giving notice of motions</w:t>
            </w:r>
          </w:p>
          <w:p w14:paraId="036F3EED" w14:textId="77777777" w:rsidR="007A0232" w:rsidRDefault="007A0232" w:rsidP="007A0232">
            <w:pPr>
              <w:autoSpaceDE w:val="0"/>
              <w:autoSpaceDN w:val="0"/>
              <w:adjustRightInd w:val="0"/>
              <w:rPr>
                <w:color w:val="000000"/>
                <w:lang w:eastAsia="en-GB"/>
              </w:rPr>
            </w:pPr>
            <w:r>
              <w:rPr>
                <w:color w:val="000000"/>
                <w:lang w:eastAsia="en-GB"/>
              </w:rPr>
              <w:lastRenderedPageBreak/>
              <w:t xml:space="preserve">Some motions may be moved without notice. These are listed at 11.19. </w:t>
            </w:r>
            <w:r w:rsidRPr="00583F3E">
              <w:rPr>
                <w:color w:val="000000"/>
                <w:lang w:eastAsia="en-GB"/>
              </w:rPr>
              <w:t xml:space="preserve">For all other motions </w:t>
            </w:r>
            <w:r>
              <w:rPr>
                <w:color w:val="000000"/>
                <w:u w:val="single"/>
                <w:lang w:eastAsia="en-GB"/>
              </w:rPr>
              <w:t>with the exception o</w:t>
            </w:r>
            <w:r w:rsidRPr="00667C33">
              <w:rPr>
                <w:color w:val="000000"/>
                <w:u w:val="single"/>
                <w:lang w:eastAsia="en-GB"/>
              </w:rPr>
              <w:t xml:space="preserve">f </w:t>
            </w:r>
            <w:r>
              <w:rPr>
                <w:color w:val="000000"/>
                <w:u w:val="single"/>
                <w:lang w:eastAsia="en-GB"/>
              </w:rPr>
              <w:t>urgent</w:t>
            </w:r>
            <w:r w:rsidRPr="00667C33">
              <w:rPr>
                <w:color w:val="000000"/>
                <w:u w:val="single"/>
                <w:lang w:eastAsia="en-GB"/>
              </w:rPr>
              <w:t xml:space="preserve"> cross-party motions</w:t>
            </w:r>
            <w:r>
              <w:rPr>
                <w:color w:val="000000"/>
                <w:lang w:eastAsia="en-GB"/>
              </w:rPr>
              <w:t xml:space="preserve">, the full wording must be emailed to </w:t>
            </w:r>
            <w:r>
              <w:rPr>
                <w:i/>
                <w:iCs/>
                <w:color w:val="0000FF"/>
                <w:lang w:eastAsia="en-GB"/>
              </w:rPr>
              <w:t xml:space="preserve">democraticservices@oxford.gov.uk </w:t>
            </w:r>
            <w:r>
              <w:rPr>
                <w:color w:val="000000"/>
                <w:lang w:eastAsia="en-GB"/>
              </w:rPr>
              <w:t>or received by the Head of Law and Governance by 1.00 pm at least seven clear working days before the meeting. These motions will be reproduced on the agenda for the meeting.</w:t>
            </w:r>
          </w:p>
          <w:p w14:paraId="5DCDB6D4" w14:textId="77777777" w:rsidR="007A0232" w:rsidRDefault="007A0232" w:rsidP="007A0232">
            <w:pPr>
              <w:autoSpaceDE w:val="0"/>
              <w:autoSpaceDN w:val="0"/>
              <w:adjustRightInd w:val="0"/>
              <w:rPr>
                <w:color w:val="000000"/>
                <w:lang w:eastAsia="en-GB"/>
              </w:rPr>
            </w:pPr>
          </w:p>
          <w:p w14:paraId="37EBCDB7" w14:textId="77777777" w:rsidR="007A0232" w:rsidRDefault="007A0232" w:rsidP="007A0232">
            <w:pPr>
              <w:autoSpaceDE w:val="0"/>
              <w:autoSpaceDN w:val="0"/>
              <w:adjustRightInd w:val="0"/>
            </w:pPr>
            <w:r>
              <w:rPr>
                <w:color w:val="000000"/>
                <w:u w:val="single"/>
                <w:lang w:eastAsia="en-GB"/>
              </w:rPr>
              <w:t>Urgent</w:t>
            </w:r>
            <w:r w:rsidRPr="00667C33">
              <w:rPr>
                <w:color w:val="000000"/>
                <w:u w:val="single"/>
                <w:lang w:eastAsia="en-GB"/>
              </w:rPr>
              <w:t xml:space="preserve"> cross-party motions </w:t>
            </w:r>
            <w:r>
              <w:rPr>
                <w:color w:val="000000"/>
                <w:u w:val="single"/>
                <w:lang w:eastAsia="en-GB"/>
              </w:rPr>
              <w:t xml:space="preserve">supported in writing by all the Leaders of political groups on the Council </w:t>
            </w:r>
            <w:r w:rsidRPr="00667C33">
              <w:rPr>
                <w:color w:val="000000"/>
                <w:u w:val="single"/>
                <w:lang w:eastAsia="en-GB"/>
              </w:rPr>
              <w:t>may be submitted</w:t>
            </w:r>
            <w:r w:rsidRPr="00667C33">
              <w:rPr>
                <w:u w:val="single"/>
              </w:rPr>
              <w:t xml:space="preserve"> by </w:t>
            </w:r>
            <w:r w:rsidRPr="007A0232">
              <w:rPr>
                <w:color w:val="000000"/>
                <w:u w:val="single"/>
                <w:lang w:eastAsia="en-GB"/>
              </w:rPr>
              <w:t>1.00 pm three working days</w:t>
            </w:r>
            <w:r w:rsidRPr="00667C33">
              <w:rPr>
                <w:color w:val="000000"/>
                <w:u w:val="single"/>
                <w:lang w:eastAsia="en-GB"/>
              </w:rPr>
              <w:t xml:space="preserve"> before the Council meeting so that they may be circulated with the </w:t>
            </w:r>
            <w:r>
              <w:rPr>
                <w:color w:val="000000"/>
                <w:u w:val="single"/>
                <w:lang w:eastAsia="en-GB"/>
              </w:rPr>
              <w:t>b</w:t>
            </w:r>
            <w:r w:rsidRPr="00667C33">
              <w:rPr>
                <w:color w:val="000000"/>
                <w:u w:val="single"/>
                <w:lang w:eastAsia="en-GB"/>
              </w:rPr>
              <w:t xml:space="preserve">riefing </w:t>
            </w:r>
            <w:r>
              <w:rPr>
                <w:color w:val="000000"/>
                <w:u w:val="single"/>
                <w:lang w:eastAsia="en-GB"/>
              </w:rPr>
              <w:t>n</w:t>
            </w:r>
            <w:r w:rsidRPr="00667C33">
              <w:rPr>
                <w:color w:val="000000"/>
                <w:u w:val="single"/>
                <w:lang w:eastAsia="en-GB"/>
              </w:rPr>
              <w:t>ote.</w:t>
            </w:r>
            <w:r>
              <w:t xml:space="preserve"> </w:t>
            </w:r>
          </w:p>
          <w:p w14:paraId="29ADAD33" w14:textId="77777777" w:rsidR="007A0232" w:rsidRPr="0098602B" w:rsidRDefault="007A0232" w:rsidP="007A0232">
            <w:pPr>
              <w:autoSpaceDE w:val="0"/>
              <w:autoSpaceDN w:val="0"/>
              <w:adjustRightInd w:val="0"/>
              <w:rPr>
                <w:lang w:eastAsia="en-GB"/>
              </w:rPr>
            </w:pPr>
          </w:p>
        </w:tc>
      </w:tr>
      <w:tr w:rsidR="0098602B" w:rsidRPr="0098602B" w14:paraId="1F7A04C4" w14:textId="77777777" w:rsidTr="00F3216D">
        <w:trPr>
          <w:trHeight w:val="561"/>
        </w:trPr>
        <w:tc>
          <w:tcPr>
            <w:tcW w:w="1162" w:type="dxa"/>
            <w:tcBorders>
              <w:bottom w:val="single" w:sz="4" w:space="0" w:color="auto"/>
            </w:tcBorders>
            <w:shd w:val="clear" w:color="auto" w:fill="auto"/>
            <w:vAlign w:val="center"/>
          </w:tcPr>
          <w:p w14:paraId="7BDB4600" w14:textId="1487D4CE" w:rsidR="00D83CA6" w:rsidRPr="0098602B" w:rsidRDefault="00E81127" w:rsidP="00667C33">
            <w:pPr>
              <w:rPr>
                <w:bCs/>
              </w:rPr>
            </w:pPr>
            <w:r>
              <w:rPr>
                <w:bCs/>
              </w:rPr>
              <w:lastRenderedPageBreak/>
              <w:t>11.18</w:t>
            </w:r>
          </w:p>
        </w:tc>
        <w:tc>
          <w:tcPr>
            <w:tcW w:w="6521" w:type="dxa"/>
            <w:tcBorders>
              <w:bottom w:val="single" w:sz="4" w:space="0" w:color="auto"/>
            </w:tcBorders>
          </w:tcPr>
          <w:p w14:paraId="60ED0231" w14:textId="77777777" w:rsidR="00406BA8" w:rsidRPr="0098602B" w:rsidRDefault="00406BA8" w:rsidP="00406BA8">
            <w:pPr>
              <w:spacing w:before="120"/>
              <w:rPr>
                <w:b/>
              </w:rPr>
            </w:pPr>
            <w:r w:rsidRPr="0098602B">
              <w:rPr>
                <w:b/>
              </w:rPr>
              <w:t xml:space="preserve">Motions on notice </w:t>
            </w:r>
          </w:p>
          <w:p w14:paraId="7F79ECE9" w14:textId="1DE346EA" w:rsidR="00D83CA6" w:rsidRPr="0098602B" w:rsidRDefault="00406BA8" w:rsidP="00D83CA6">
            <w:pPr>
              <w:spacing w:before="120"/>
            </w:pPr>
            <w:r w:rsidRPr="0098602B">
              <w:t>To include a rule that any amendments to cross-party motions must be supported in writing by all the leaders of the political groups on the Council.</w:t>
            </w:r>
          </w:p>
          <w:p w14:paraId="43E83E71" w14:textId="22CE4F88" w:rsidR="00406BA8" w:rsidRPr="0098602B" w:rsidRDefault="00406BA8" w:rsidP="00D83CA6">
            <w:pPr>
              <w:spacing w:before="120"/>
            </w:pPr>
            <w:r w:rsidRPr="0098602B">
              <w:rPr>
                <w:b/>
              </w:rPr>
              <w:t xml:space="preserve">Rationale: </w:t>
            </w:r>
            <w:r w:rsidRPr="0098602B">
              <w:t>To ensure that Council will only consider amendments to cross-party motions that have cross-party support. Cross-party support is the basis for these</w:t>
            </w:r>
            <w:r w:rsidR="004A0FB9" w:rsidRPr="0098602B">
              <w:t xml:space="preserve"> motions being listed first on the agenda and taken first at meetings, ahead of motions submitted by groups.</w:t>
            </w:r>
          </w:p>
          <w:p w14:paraId="26195F85" w14:textId="77777777" w:rsidR="00406BA8" w:rsidRPr="0098602B" w:rsidRDefault="00406BA8" w:rsidP="00D83CA6">
            <w:pPr>
              <w:spacing w:before="120"/>
              <w:rPr>
                <w:b/>
                <w:highlight w:val="green"/>
              </w:rPr>
            </w:pPr>
          </w:p>
        </w:tc>
        <w:tc>
          <w:tcPr>
            <w:tcW w:w="1277" w:type="dxa"/>
            <w:tcBorders>
              <w:bottom w:val="single" w:sz="4" w:space="0" w:color="auto"/>
            </w:tcBorders>
            <w:shd w:val="clear" w:color="auto" w:fill="auto"/>
            <w:vAlign w:val="center"/>
          </w:tcPr>
          <w:p w14:paraId="277FDB08" w14:textId="77777777" w:rsidR="00D83CA6" w:rsidRDefault="00E81127" w:rsidP="00F36E05">
            <w:r>
              <w:t xml:space="preserve">11.18 (f) </w:t>
            </w:r>
          </w:p>
          <w:p w14:paraId="6267C558" w14:textId="04A9F695" w:rsidR="00E81127" w:rsidRDefault="00E81127" w:rsidP="00F36E05">
            <w:r>
              <w:t xml:space="preserve">and repeated at 11.20 (f) </w:t>
            </w:r>
          </w:p>
          <w:p w14:paraId="2EFE050D" w14:textId="77777777" w:rsidR="00E81127" w:rsidRDefault="00E81127" w:rsidP="00F36E05"/>
          <w:p w14:paraId="36722BFC" w14:textId="336B9590" w:rsidR="00E81127" w:rsidRPr="0098602B" w:rsidRDefault="00E81127" w:rsidP="00F36E05">
            <w:r>
              <w:t>11.18 (f) to  (h) renumbered</w:t>
            </w:r>
          </w:p>
        </w:tc>
        <w:tc>
          <w:tcPr>
            <w:tcW w:w="6237" w:type="dxa"/>
            <w:tcBorders>
              <w:bottom w:val="single" w:sz="4" w:space="0" w:color="auto"/>
            </w:tcBorders>
            <w:shd w:val="clear" w:color="auto" w:fill="auto"/>
            <w:vAlign w:val="center"/>
          </w:tcPr>
          <w:p w14:paraId="6B296022" w14:textId="77777777" w:rsidR="004A0FB9" w:rsidRPr="0098602B" w:rsidRDefault="004A0FB9" w:rsidP="004A0FB9">
            <w:pPr>
              <w:autoSpaceDE w:val="0"/>
              <w:autoSpaceDN w:val="0"/>
              <w:adjustRightInd w:val="0"/>
              <w:rPr>
                <w:lang w:eastAsia="en-GB"/>
              </w:rPr>
            </w:pPr>
            <w:r w:rsidRPr="0098602B">
              <w:rPr>
                <w:lang w:eastAsia="en-GB"/>
              </w:rPr>
              <w:t>(f) Amendments to motions</w:t>
            </w:r>
          </w:p>
          <w:p w14:paraId="5DABAE8D" w14:textId="0960EC5E" w:rsidR="004A0FB9" w:rsidRPr="0098602B" w:rsidRDefault="004A0FB9" w:rsidP="004A0FB9">
            <w:pPr>
              <w:autoSpaceDE w:val="0"/>
              <w:autoSpaceDN w:val="0"/>
              <w:adjustRightInd w:val="0"/>
              <w:rPr>
                <w:lang w:eastAsia="en-GB"/>
              </w:rPr>
            </w:pPr>
            <w:r w:rsidRPr="0098602B">
              <w:rPr>
                <w:lang w:eastAsia="en-GB"/>
              </w:rPr>
              <w:t>Substantive amendments to motions must be submitted by 10.00 am on the working day before the Council meeting so that they may be circulated with the briefing note.</w:t>
            </w:r>
          </w:p>
          <w:p w14:paraId="66588ED7" w14:textId="77777777" w:rsidR="004A0FB9" w:rsidRPr="0098602B" w:rsidRDefault="004A0FB9" w:rsidP="004A0FB9">
            <w:pPr>
              <w:autoSpaceDE w:val="0"/>
              <w:autoSpaceDN w:val="0"/>
              <w:adjustRightInd w:val="0"/>
              <w:rPr>
                <w:lang w:eastAsia="en-GB"/>
              </w:rPr>
            </w:pPr>
          </w:p>
          <w:p w14:paraId="37825D38" w14:textId="457DA0E0" w:rsidR="004A0FB9" w:rsidRPr="0098602B" w:rsidRDefault="004A0FB9" w:rsidP="004A0FB9">
            <w:pPr>
              <w:autoSpaceDE w:val="0"/>
              <w:autoSpaceDN w:val="0"/>
              <w:adjustRightInd w:val="0"/>
              <w:rPr>
                <w:u w:val="single"/>
                <w:lang w:eastAsia="en-GB"/>
              </w:rPr>
            </w:pPr>
            <w:r w:rsidRPr="0098602B">
              <w:rPr>
                <w:u w:val="single"/>
                <w:lang w:eastAsia="en-GB"/>
              </w:rPr>
              <w:t>Amendments to cross-party motions must be supporting in writing by all the leaders of the political groups on the Council.</w:t>
            </w:r>
          </w:p>
          <w:p w14:paraId="4C830963" w14:textId="77777777" w:rsidR="004A0FB9" w:rsidRPr="0098602B" w:rsidRDefault="004A0FB9" w:rsidP="004A0FB9">
            <w:pPr>
              <w:autoSpaceDE w:val="0"/>
              <w:autoSpaceDN w:val="0"/>
              <w:adjustRightInd w:val="0"/>
              <w:rPr>
                <w:lang w:eastAsia="en-GB"/>
              </w:rPr>
            </w:pPr>
          </w:p>
          <w:p w14:paraId="550E4500" w14:textId="691E5A82" w:rsidR="00D83CA6" w:rsidRPr="0098602B" w:rsidRDefault="004A0FB9" w:rsidP="004A0FB9">
            <w:pPr>
              <w:autoSpaceDE w:val="0"/>
              <w:autoSpaceDN w:val="0"/>
              <w:adjustRightInd w:val="0"/>
              <w:rPr>
                <w:bCs/>
              </w:rPr>
            </w:pPr>
            <w:r w:rsidRPr="0098602B">
              <w:rPr>
                <w:lang w:eastAsia="en-GB"/>
              </w:rPr>
              <w:t>Minor technical or limited wording amendments may be submitted during the meeting but must be written down and circulated.</w:t>
            </w:r>
          </w:p>
        </w:tc>
      </w:tr>
      <w:tr w:rsidR="0098602B" w:rsidRPr="0098602B" w14:paraId="44C5E9F5" w14:textId="77777777" w:rsidTr="00F3216D">
        <w:trPr>
          <w:trHeight w:val="561"/>
        </w:trPr>
        <w:tc>
          <w:tcPr>
            <w:tcW w:w="1162" w:type="dxa"/>
            <w:tcBorders>
              <w:bottom w:val="single" w:sz="4" w:space="0" w:color="auto"/>
            </w:tcBorders>
            <w:shd w:val="clear" w:color="auto" w:fill="F2F2F2" w:themeFill="background1" w:themeFillShade="F2"/>
            <w:vAlign w:val="center"/>
          </w:tcPr>
          <w:p w14:paraId="65C8315A" w14:textId="420AAF90" w:rsidR="00454AAF" w:rsidRPr="0098602B" w:rsidDel="008F450E" w:rsidRDefault="00454AAF" w:rsidP="00F36E05">
            <w:pPr>
              <w:jc w:val="center"/>
              <w:rPr>
                <w:b/>
                <w:bCs/>
              </w:rPr>
            </w:pPr>
            <w:r w:rsidRPr="0098602B">
              <w:rPr>
                <w:b/>
                <w:bCs/>
              </w:rPr>
              <w:t>Part 14</w:t>
            </w:r>
          </w:p>
        </w:tc>
        <w:tc>
          <w:tcPr>
            <w:tcW w:w="6521" w:type="dxa"/>
            <w:tcBorders>
              <w:bottom w:val="single" w:sz="4" w:space="0" w:color="auto"/>
              <w:right w:val="nil"/>
            </w:tcBorders>
            <w:shd w:val="clear" w:color="auto" w:fill="F2F2F2" w:themeFill="background1" w:themeFillShade="F2"/>
          </w:tcPr>
          <w:p w14:paraId="4C1A2B2D" w14:textId="64522758" w:rsidR="00454AAF" w:rsidRPr="0098602B" w:rsidDel="008F450E" w:rsidRDefault="00454AAF">
            <w:pPr>
              <w:spacing w:before="120"/>
              <w:rPr>
                <w:b/>
              </w:rPr>
            </w:pPr>
            <w:r w:rsidRPr="0098602B">
              <w:rPr>
                <w:b/>
              </w:rPr>
              <w:t>Other Committee Procedures</w:t>
            </w:r>
          </w:p>
        </w:tc>
        <w:tc>
          <w:tcPr>
            <w:tcW w:w="1277" w:type="dxa"/>
            <w:tcBorders>
              <w:left w:val="nil"/>
              <w:bottom w:val="single" w:sz="4" w:space="0" w:color="auto"/>
              <w:right w:val="nil"/>
            </w:tcBorders>
            <w:shd w:val="clear" w:color="auto" w:fill="F2F2F2" w:themeFill="background1" w:themeFillShade="F2"/>
            <w:vAlign w:val="center"/>
          </w:tcPr>
          <w:p w14:paraId="22F74341" w14:textId="77777777" w:rsidR="00454AAF" w:rsidRPr="0098602B" w:rsidRDefault="00454AAF" w:rsidP="00F36E05"/>
        </w:tc>
        <w:tc>
          <w:tcPr>
            <w:tcW w:w="6237" w:type="dxa"/>
            <w:tcBorders>
              <w:left w:val="nil"/>
              <w:bottom w:val="single" w:sz="4" w:space="0" w:color="auto"/>
            </w:tcBorders>
            <w:shd w:val="clear" w:color="auto" w:fill="F2F2F2" w:themeFill="background1" w:themeFillShade="F2"/>
            <w:vAlign w:val="center"/>
          </w:tcPr>
          <w:p w14:paraId="02DBC94B" w14:textId="77777777" w:rsidR="00454AAF" w:rsidRPr="0098602B" w:rsidDel="008F450E" w:rsidRDefault="00454AAF">
            <w:pPr>
              <w:rPr>
                <w:bCs/>
              </w:rPr>
            </w:pPr>
          </w:p>
        </w:tc>
      </w:tr>
      <w:tr w:rsidR="00F3216D" w:rsidRPr="0026537D" w14:paraId="4737F20A" w14:textId="77777777" w:rsidTr="00F3216D">
        <w:trPr>
          <w:trHeight w:val="1334"/>
        </w:trPr>
        <w:tc>
          <w:tcPr>
            <w:tcW w:w="1162" w:type="dxa"/>
            <w:tcBorders>
              <w:top w:val="single" w:sz="4" w:space="0" w:color="auto"/>
              <w:left w:val="single" w:sz="4" w:space="0" w:color="auto"/>
              <w:right w:val="single" w:sz="4" w:space="0" w:color="auto"/>
            </w:tcBorders>
            <w:shd w:val="clear" w:color="auto" w:fill="auto"/>
            <w:vAlign w:val="center"/>
          </w:tcPr>
          <w:p w14:paraId="31C5BE17" w14:textId="77777777" w:rsidR="00F3216D" w:rsidRPr="0026537D" w:rsidRDefault="00F3216D" w:rsidP="00803D6D">
            <w:pPr>
              <w:jc w:val="center"/>
              <w:rPr>
                <w:bCs/>
              </w:rPr>
            </w:pPr>
            <w:r w:rsidRPr="0026537D">
              <w:rPr>
                <w:bCs/>
              </w:rPr>
              <w:t>14.3</w:t>
            </w:r>
          </w:p>
        </w:tc>
        <w:tc>
          <w:tcPr>
            <w:tcW w:w="6521" w:type="dxa"/>
            <w:tcBorders>
              <w:top w:val="single" w:sz="4" w:space="0" w:color="auto"/>
              <w:left w:val="single" w:sz="4" w:space="0" w:color="auto"/>
              <w:bottom w:val="single" w:sz="4" w:space="0" w:color="auto"/>
              <w:right w:val="single" w:sz="4" w:space="0" w:color="auto"/>
            </w:tcBorders>
          </w:tcPr>
          <w:p w14:paraId="0A1A3B0C" w14:textId="77777777" w:rsidR="00F3216D" w:rsidRDefault="00F3216D" w:rsidP="00803D6D">
            <w:pPr>
              <w:spacing w:before="120"/>
              <w:rPr>
                <w:b/>
              </w:rPr>
            </w:pPr>
            <w:r>
              <w:rPr>
                <w:b/>
              </w:rPr>
              <w:t>Quorums and substitutes</w:t>
            </w:r>
          </w:p>
          <w:p w14:paraId="2B57E1CD" w14:textId="240C1324" w:rsidR="00F3216D" w:rsidRDefault="00F3216D" w:rsidP="00803D6D">
            <w:pPr>
              <w:spacing w:before="120"/>
            </w:pPr>
            <w:r>
              <w:t>To include that the Oxford City Planning Committee has a size of 11 members and a quorum of 5 members.</w:t>
            </w:r>
            <w:r w:rsidR="00A225A9">
              <w:t xml:space="preserve"> </w:t>
            </w:r>
            <w:r w:rsidR="00A225A9" w:rsidRPr="00A225A9">
              <w:t>This change would come into effect from May 2021.</w:t>
            </w:r>
            <w:r w:rsidR="00A225A9">
              <w:t xml:space="preserve"> </w:t>
            </w:r>
          </w:p>
          <w:p w14:paraId="657E2FEA" w14:textId="77777777" w:rsidR="00F3216D" w:rsidRDefault="00F3216D" w:rsidP="00803D6D">
            <w:pPr>
              <w:spacing w:before="120"/>
            </w:pPr>
            <w:r>
              <w:rPr>
                <w:b/>
              </w:rPr>
              <w:t xml:space="preserve">Rationale: </w:t>
            </w:r>
            <w:r>
              <w:t>To set the size of the single area planning committee at 11 members to provide for wider geographical representation and member involvement in planning deliberations than could be achieved with a committee of 9 members while ensuring that planned budget savings can still be realised.</w:t>
            </w:r>
          </w:p>
          <w:p w14:paraId="52C21664" w14:textId="77777777" w:rsidR="00601E68" w:rsidRDefault="00601E68" w:rsidP="00803D6D">
            <w:pPr>
              <w:spacing w:before="120"/>
              <w:rPr>
                <w:b/>
              </w:rPr>
            </w:pPr>
          </w:p>
          <w:p w14:paraId="071BBF68" w14:textId="53FD169E" w:rsidR="00F3216D" w:rsidRPr="00196062" w:rsidRDefault="00F3216D" w:rsidP="00803D6D">
            <w:pPr>
              <w:spacing w:before="120"/>
              <w:rPr>
                <w:b/>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E8AA045" w14:textId="77777777" w:rsidR="00F3216D" w:rsidRPr="0026537D" w:rsidRDefault="00F3216D" w:rsidP="00803D6D"/>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eGrid1"/>
              <w:tblW w:w="0" w:type="auto"/>
              <w:tblLayout w:type="fixed"/>
              <w:tblLook w:val="04A0" w:firstRow="1" w:lastRow="0" w:firstColumn="1" w:lastColumn="0" w:noHBand="0" w:noVBand="1"/>
            </w:tblPr>
            <w:tblGrid>
              <w:gridCol w:w="1502"/>
              <w:gridCol w:w="1220"/>
              <w:gridCol w:w="708"/>
              <w:gridCol w:w="2581"/>
            </w:tblGrid>
            <w:tr w:rsidR="00F3216D" w14:paraId="01301514" w14:textId="77777777" w:rsidTr="00803D6D">
              <w:tc>
                <w:tcPr>
                  <w:tcW w:w="1502" w:type="dxa"/>
                </w:tcPr>
                <w:p w14:paraId="37334657" w14:textId="77777777" w:rsidR="00F3216D" w:rsidRPr="0026537D" w:rsidRDefault="00F3216D" w:rsidP="00803D6D">
                  <w:pPr>
                    <w:rPr>
                      <w:b/>
                      <w:bCs/>
                    </w:rPr>
                  </w:pPr>
                  <w:r>
                    <w:rPr>
                      <w:b/>
                      <w:bCs/>
                    </w:rPr>
                    <w:t>Committee</w:t>
                  </w:r>
                </w:p>
              </w:tc>
              <w:tc>
                <w:tcPr>
                  <w:tcW w:w="1220" w:type="dxa"/>
                </w:tcPr>
                <w:p w14:paraId="451E5830" w14:textId="77777777" w:rsidR="00F3216D" w:rsidRPr="0026537D" w:rsidRDefault="00F3216D" w:rsidP="00803D6D">
                  <w:pPr>
                    <w:rPr>
                      <w:b/>
                      <w:bCs/>
                    </w:rPr>
                  </w:pPr>
                  <w:r w:rsidRPr="0026537D">
                    <w:rPr>
                      <w:b/>
                      <w:bCs/>
                    </w:rPr>
                    <w:t>Quorum</w:t>
                  </w:r>
                </w:p>
              </w:tc>
              <w:tc>
                <w:tcPr>
                  <w:tcW w:w="708" w:type="dxa"/>
                </w:tcPr>
                <w:p w14:paraId="382A0873" w14:textId="77777777" w:rsidR="00F3216D" w:rsidRPr="0026537D" w:rsidRDefault="00F3216D" w:rsidP="00803D6D">
                  <w:pPr>
                    <w:rPr>
                      <w:b/>
                      <w:bCs/>
                    </w:rPr>
                  </w:pPr>
                  <w:r w:rsidRPr="0026537D">
                    <w:rPr>
                      <w:b/>
                      <w:bCs/>
                    </w:rPr>
                    <w:t xml:space="preserve">Size </w:t>
                  </w:r>
                </w:p>
              </w:tc>
              <w:tc>
                <w:tcPr>
                  <w:tcW w:w="2581" w:type="dxa"/>
                </w:tcPr>
                <w:p w14:paraId="3F92E38B" w14:textId="77777777" w:rsidR="00F3216D" w:rsidRPr="0026537D" w:rsidRDefault="00F3216D" w:rsidP="00803D6D">
                  <w:pPr>
                    <w:rPr>
                      <w:b/>
                      <w:bCs/>
                    </w:rPr>
                  </w:pPr>
                  <w:r w:rsidRPr="0026537D">
                    <w:rPr>
                      <w:b/>
                      <w:bCs/>
                    </w:rPr>
                    <w:t>Substitutes</w:t>
                  </w:r>
                </w:p>
              </w:tc>
            </w:tr>
            <w:tr w:rsidR="00F3216D" w14:paraId="5B348F7C" w14:textId="77777777" w:rsidTr="00803D6D">
              <w:tc>
                <w:tcPr>
                  <w:tcW w:w="1502" w:type="dxa"/>
                </w:tcPr>
                <w:p w14:paraId="2CA561FB" w14:textId="77777777" w:rsidR="00F3216D" w:rsidRPr="0026537D" w:rsidRDefault="00F3216D" w:rsidP="00803D6D">
                  <w:pPr>
                    <w:rPr>
                      <w:bCs/>
                      <w:strike/>
                    </w:rPr>
                  </w:pPr>
                  <w:r w:rsidRPr="0026537D">
                    <w:rPr>
                      <w:bCs/>
                      <w:strike/>
                    </w:rPr>
                    <w:t>Area Planning</w:t>
                  </w:r>
                </w:p>
                <w:p w14:paraId="5FAC991F" w14:textId="77777777" w:rsidR="00F3216D" w:rsidRPr="0026537D" w:rsidRDefault="00F3216D" w:rsidP="00803D6D">
                  <w:pPr>
                    <w:rPr>
                      <w:bCs/>
                      <w:strike/>
                    </w:rPr>
                  </w:pPr>
                  <w:r w:rsidRPr="0026537D">
                    <w:rPr>
                      <w:bCs/>
                      <w:strike/>
                    </w:rPr>
                    <w:t>Committees</w:t>
                  </w:r>
                </w:p>
                <w:p w14:paraId="7B7B35C7" w14:textId="77777777" w:rsidR="00F3216D" w:rsidRPr="0026537D" w:rsidRDefault="00F3216D" w:rsidP="00803D6D">
                  <w:pPr>
                    <w:rPr>
                      <w:bCs/>
                      <w:strike/>
                    </w:rPr>
                  </w:pPr>
                  <w:r w:rsidRPr="0026537D">
                    <w:rPr>
                      <w:bCs/>
                      <w:strike/>
                    </w:rPr>
                    <w:t>and</w:t>
                  </w:r>
                </w:p>
                <w:p w14:paraId="40CB1106" w14:textId="77777777" w:rsidR="00F3216D" w:rsidRPr="0026537D" w:rsidRDefault="00F3216D" w:rsidP="00803D6D">
                  <w:pPr>
                    <w:rPr>
                      <w:bCs/>
                    </w:rPr>
                  </w:pPr>
                  <w:r w:rsidRPr="0026537D">
                    <w:rPr>
                      <w:bCs/>
                    </w:rPr>
                    <w:t>Planning Review</w:t>
                  </w:r>
                </w:p>
                <w:p w14:paraId="4958E53A" w14:textId="77777777" w:rsidR="00F3216D" w:rsidRDefault="00F3216D" w:rsidP="00803D6D">
                  <w:pPr>
                    <w:rPr>
                      <w:bCs/>
                    </w:rPr>
                  </w:pPr>
                  <w:r w:rsidRPr="0026537D">
                    <w:rPr>
                      <w:bCs/>
                    </w:rPr>
                    <w:t>Committee</w:t>
                  </w:r>
                </w:p>
              </w:tc>
              <w:tc>
                <w:tcPr>
                  <w:tcW w:w="1220" w:type="dxa"/>
                </w:tcPr>
                <w:p w14:paraId="725EB7EF" w14:textId="77777777" w:rsidR="00F3216D" w:rsidRDefault="00F3216D" w:rsidP="00803D6D">
                  <w:pPr>
                    <w:rPr>
                      <w:bCs/>
                    </w:rPr>
                  </w:pPr>
                  <w:r>
                    <w:rPr>
                      <w:bCs/>
                    </w:rPr>
                    <w:t>5</w:t>
                  </w:r>
                </w:p>
              </w:tc>
              <w:tc>
                <w:tcPr>
                  <w:tcW w:w="708" w:type="dxa"/>
                </w:tcPr>
                <w:p w14:paraId="36C3522C" w14:textId="77777777" w:rsidR="00F3216D" w:rsidRDefault="00F3216D" w:rsidP="00803D6D">
                  <w:pPr>
                    <w:rPr>
                      <w:bCs/>
                    </w:rPr>
                  </w:pPr>
                  <w:r>
                    <w:rPr>
                      <w:bCs/>
                    </w:rPr>
                    <w:t>9</w:t>
                  </w:r>
                </w:p>
              </w:tc>
              <w:tc>
                <w:tcPr>
                  <w:tcW w:w="2581" w:type="dxa"/>
                </w:tcPr>
                <w:p w14:paraId="7E342FAE" w14:textId="77777777" w:rsidR="00F3216D" w:rsidRPr="0026537D" w:rsidRDefault="00F3216D" w:rsidP="00803D6D">
                  <w:pPr>
                    <w:rPr>
                      <w:bCs/>
                    </w:rPr>
                  </w:pPr>
                  <w:r w:rsidRPr="0026537D">
                    <w:rPr>
                      <w:bCs/>
                    </w:rPr>
                    <w:t>Permitted. Councillors</w:t>
                  </w:r>
                </w:p>
                <w:p w14:paraId="33163447" w14:textId="77777777" w:rsidR="00F3216D" w:rsidRPr="0026537D" w:rsidRDefault="00F3216D" w:rsidP="00803D6D">
                  <w:pPr>
                    <w:rPr>
                      <w:bCs/>
                    </w:rPr>
                  </w:pPr>
                  <w:r w:rsidRPr="0026537D">
                    <w:rPr>
                      <w:bCs/>
                    </w:rPr>
                    <w:t>should not sit or</w:t>
                  </w:r>
                </w:p>
                <w:p w14:paraId="75E04A40" w14:textId="77777777" w:rsidR="00F3216D" w:rsidRPr="0026537D" w:rsidRDefault="00F3216D" w:rsidP="00803D6D">
                  <w:pPr>
                    <w:rPr>
                      <w:bCs/>
                    </w:rPr>
                  </w:pPr>
                  <w:r w:rsidRPr="0026537D">
                    <w:rPr>
                      <w:bCs/>
                    </w:rPr>
                    <w:t>substitute unless they</w:t>
                  </w:r>
                </w:p>
                <w:p w14:paraId="388D7DE0" w14:textId="77777777" w:rsidR="00F3216D" w:rsidRPr="0026537D" w:rsidRDefault="00F3216D" w:rsidP="00803D6D">
                  <w:pPr>
                    <w:rPr>
                      <w:bCs/>
                    </w:rPr>
                  </w:pPr>
                  <w:r w:rsidRPr="0026537D">
                    <w:rPr>
                      <w:bCs/>
                    </w:rPr>
                    <w:t>have undertaken</w:t>
                  </w:r>
                </w:p>
                <w:p w14:paraId="2722C155" w14:textId="77777777" w:rsidR="00F3216D" w:rsidRPr="0026537D" w:rsidRDefault="00F3216D" w:rsidP="00803D6D">
                  <w:pPr>
                    <w:rPr>
                      <w:bCs/>
                    </w:rPr>
                  </w:pPr>
                  <w:r w:rsidRPr="0026537D">
                    <w:rPr>
                      <w:bCs/>
                    </w:rPr>
                    <w:t>compulsory planning</w:t>
                  </w:r>
                </w:p>
                <w:p w14:paraId="7B5FB43D" w14:textId="77777777" w:rsidR="00F3216D" w:rsidRPr="0026537D" w:rsidRDefault="00F3216D" w:rsidP="00803D6D">
                  <w:pPr>
                    <w:rPr>
                      <w:bCs/>
                    </w:rPr>
                  </w:pPr>
                  <w:r w:rsidRPr="0026537D">
                    <w:rPr>
                      <w:bCs/>
                    </w:rPr>
                    <w:t>and development</w:t>
                  </w:r>
                </w:p>
                <w:p w14:paraId="21928A9D" w14:textId="77777777" w:rsidR="00F3216D" w:rsidRPr="0026537D" w:rsidRDefault="00F3216D" w:rsidP="00803D6D">
                  <w:pPr>
                    <w:rPr>
                      <w:bCs/>
                    </w:rPr>
                  </w:pPr>
                  <w:r w:rsidRPr="0026537D">
                    <w:rPr>
                      <w:bCs/>
                    </w:rPr>
                    <w:t>control training (held</w:t>
                  </w:r>
                </w:p>
                <w:p w14:paraId="0DDC65A8" w14:textId="77777777" w:rsidR="00F3216D" w:rsidRDefault="00F3216D" w:rsidP="00803D6D">
                  <w:pPr>
                    <w:rPr>
                      <w:bCs/>
                    </w:rPr>
                  </w:pPr>
                  <w:r w:rsidRPr="0026537D">
                    <w:rPr>
                      <w:bCs/>
                    </w:rPr>
                    <w:t>every two years)</w:t>
                  </w:r>
                </w:p>
              </w:tc>
            </w:tr>
            <w:tr w:rsidR="00F3216D" w14:paraId="1A8F4A5E" w14:textId="77777777" w:rsidTr="00803D6D">
              <w:tc>
                <w:tcPr>
                  <w:tcW w:w="1502" w:type="dxa"/>
                </w:tcPr>
                <w:p w14:paraId="0A715D65" w14:textId="77777777" w:rsidR="00F3216D" w:rsidRPr="0026537D" w:rsidRDefault="00F3216D" w:rsidP="00803D6D">
                  <w:pPr>
                    <w:rPr>
                      <w:bCs/>
                      <w:u w:val="single"/>
                    </w:rPr>
                  </w:pPr>
                  <w:r w:rsidRPr="0026537D">
                    <w:rPr>
                      <w:bCs/>
                      <w:u w:val="single"/>
                    </w:rPr>
                    <w:t>Oxford City Planning Committee</w:t>
                  </w:r>
                </w:p>
              </w:tc>
              <w:tc>
                <w:tcPr>
                  <w:tcW w:w="1220" w:type="dxa"/>
                </w:tcPr>
                <w:p w14:paraId="3A189AE6" w14:textId="77777777" w:rsidR="00F3216D" w:rsidRPr="00F3216D" w:rsidRDefault="00F3216D" w:rsidP="00803D6D">
                  <w:pPr>
                    <w:rPr>
                      <w:bCs/>
                      <w:u w:val="single"/>
                    </w:rPr>
                  </w:pPr>
                  <w:r w:rsidRPr="00F3216D">
                    <w:rPr>
                      <w:bCs/>
                      <w:u w:val="single"/>
                    </w:rPr>
                    <w:t>5</w:t>
                  </w:r>
                </w:p>
              </w:tc>
              <w:tc>
                <w:tcPr>
                  <w:tcW w:w="708" w:type="dxa"/>
                </w:tcPr>
                <w:p w14:paraId="5CFB2DAA" w14:textId="77777777" w:rsidR="00F3216D" w:rsidRPr="00F3216D" w:rsidRDefault="00F3216D" w:rsidP="00803D6D">
                  <w:pPr>
                    <w:rPr>
                      <w:bCs/>
                      <w:u w:val="single"/>
                    </w:rPr>
                  </w:pPr>
                  <w:r w:rsidRPr="00F3216D">
                    <w:rPr>
                      <w:bCs/>
                      <w:u w:val="single"/>
                    </w:rPr>
                    <w:t>11</w:t>
                  </w:r>
                </w:p>
              </w:tc>
              <w:tc>
                <w:tcPr>
                  <w:tcW w:w="2581" w:type="dxa"/>
                </w:tcPr>
                <w:p w14:paraId="2B13B0DF" w14:textId="77777777" w:rsidR="00F3216D" w:rsidRPr="0026537D" w:rsidRDefault="00F3216D" w:rsidP="00803D6D">
                  <w:pPr>
                    <w:rPr>
                      <w:bCs/>
                      <w:u w:val="single"/>
                    </w:rPr>
                  </w:pPr>
                  <w:r w:rsidRPr="0026537D">
                    <w:rPr>
                      <w:bCs/>
                      <w:u w:val="single"/>
                    </w:rPr>
                    <w:t>Permitted. Councillors</w:t>
                  </w:r>
                </w:p>
                <w:p w14:paraId="2D7513E2" w14:textId="77777777" w:rsidR="00F3216D" w:rsidRPr="0026537D" w:rsidRDefault="00F3216D" w:rsidP="00803D6D">
                  <w:pPr>
                    <w:rPr>
                      <w:bCs/>
                      <w:u w:val="single"/>
                    </w:rPr>
                  </w:pPr>
                  <w:r w:rsidRPr="0026537D">
                    <w:rPr>
                      <w:bCs/>
                      <w:u w:val="single"/>
                    </w:rPr>
                    <w:t>should not sit or</w:t>
                  </w:r>
                </w:p>
                <w:p w14:paraId="7F8899C4" w14:textId="77777777" w:rsidR="00F3216D" w:rsidRPr="0026537D" w:rsidRDefault="00F3216D" w:rsidP="00803D6D">
                  <w:pPr>
                    <w:rPr>
                      <w:bCs/>
                      <w:u w:val="single"/>
                    </w:rPr>
                  </w:pPr>
                  <w:r w:rsidRPr="0026537D">
                    <w:rPr>
                      <w:bCs/>
                      <w:u w:val="single"/>
                    </w:rPr>
                    <w:t>substitute unless they</w:t>
                  </w:r>
                </w:p>
                <w:p w14:paraId="367FFE26" w14:textId="77777777" w:rsidR="00F3216D" w:rsidRPr="0026537D" w:rsidRDefault="00F3216D" w:rsidP="00803D6D">
                  <w:pPr>
                    <w:rPr>
                      <w:bCs/>
                      <w:u w:val="single"/>
                    </w:rPr>
                  </w:pPr>
                  <w:r w:rsidRPr="0026537D">
                    <w:rPr>
                      <w:bCs/>
                      <w:u w:val="single"/>
                    </w:rPr>
                    <w:t>have undertaken</w:t>
                  </w:r>
                </w:p>
                <w:p w14:paraId="6745BAB7" w14:textId="77777777" w:rsidR="00F3216D" w:rsidRPr="0026537D" w:rsidRDefault="00F3216D" w:rsidP="00803D6D">
                  <w:pPr>
                    <w:rPr>
                      <w:bCs/>
                      <w:u w:val="single"/>
                    </w:rPr>
                  </w:pPr>
                  <w:r w:rsidRPr="0026537D">
                    <w:rPr>
                      <w:bCs/>
                      <w:u w:val="single"/>
                    </w:rPr>
                    <w:t>compulsory planning</w:t>
                  </w:r>
                </w:p>
                <w:p w14:paraId="7918E02F" w14:textId="77777777" w:rsidR="00F3216D" w:rsidRPr="0026537D" w:rsidRDefault="00F3216D" w:rsidP="00803D6D">
                  <w:pPr>
                    <w:rPr>
                      <w:bCs/>
                      <w:u w:val="single"/>
                    </w:rPr>
                  </w:pPr>
                  <w:r w:rsidRPr="0026537D">
                    <w:rPr>
                      <w:bCs/>
                      <w:u w:val="single"/>
                    </w:rPr>
                    <w:t>and development</w:t>
                  </w:r>
                </w:p>
                <w:p w14:paraId="4A5D65E2" w14:textId="77777777" w:rsidR="00F3216D" w:rsidRPr="0026537D" w:rsidRDefault="00F3216D" w:rsidP="00803D6D">
                  <w:pPr>
                    <w:rPr>
                      <w:bCs/>
                      <w:u w:val="single"/>
                    </w:rPr>
                  </w:pPr>
                  <w:r w:rsidRPr="0026537D">
                    <w:rPr>
                      <w:bCs/>
                      <w:u w:val="single"/>
                    </w:rPr>
                    <w:t>control training (held</w:t>
                  </w:r>
                </w:p>
                <w:p w14:paraId="7C1A5DD9" w14:textId="77777777" w:rsidR="00F3216D" w:rsidRPr="0026537D" w:rsidRDefault="00F3216D" w:rsidP="00803D6D">
                  <w:pPr>
                    <w:rPr>
                      <w:bCs/>
                      <w:u w:val="single"/>
                    </w:rPr>
                  </w:pPr>
                  <w:r w:rsidRPr="0026537D">
                    <w:rPr>
                      <w:bCs/>
                      <w:u w:val="single"/>
                    </w:rPr>
                    <w:t>every two years)</w:t>
                  </w:r>
                </w:p>
              </w:tc>
            </w:tr>
          </w:tbl>
          <w:p w14:paraId="0624A76F" w14:textId="77777777" w:rsidR="00F3216D" w:rsidRPr="0026537D" w:rsidRDefault="00F3216D" w:rsidP="00803D6D">
            <w:pPr>
              <w:rPr>
                <w:bCs/>
              </w:rPr>
            </w:pPr>
          </w:p>
        </w:tc>
      </w:tr>
      <w:tr w:rsidR="0098602B" w:rsidRPr="0098602B" w14:paraId="6BC56E5F" w14:textId="77777777" w:rsidTr="00F3216D">
        <w:trPr>
          <w:trHeight w:val="2364"/>
        </w:trPr>
        <w:tc>
          <w:tcPr>
            <w:tcW w:w="1162" w:type="dxa"/>
            <w:tcBorders>
              <w:top w:val="single" w:sz="4" w:space="0" w:color="auto"/>
              <w:left w:val="single" w:sz="4" w:space="0" w:color="auto"/>
              <w:right w:val="single" w:sz="4" w:space="0" w:color="auto"/>
            </w:tcBorders>
            <w:shd w:val="clear" w:color="auto" w:fill="auto"/>
            <w:vAlign w:val="center"/>
          </w:tcPr>
          <w:p w14:paraId="2B02AC3B" w14:textId="67485A34" w:rsidR="006033D7" w:rsidRPr="0098602B" w:rsidRDefault="004D4870" w:rsidP="00F36E05">
            <w:pPr>
              <w:jc w:val="center"/>
              <w:rPr>
                <w:bCs/>
              </w:rPr>
            </w:pPr>
            <w:r w:rsidRPr="0098602B">
              <w:rPr>
                <w:bCs/>
              </w:rPr>
              <w:t>14.5</w:t>
            </w:r>
          </w:p>
        </w:tc>
        <w:tc>
          <w:tcPr>
            <w:tcW w:w="6521" w:type="dxa"/>
            <w:tcBorders>
              <w:top w:val="single" w:sz="4" w:space="0" w:color="auto"/>
              <w:left w:val="single" w:sz="4" w:space="0" w:color="auto"/>
              <w:bottom w:val="single" w:sz="4" w:space="0" w:color="auto"/>
              <w:right w:val="single" w:sz="4" w:space="0" w:color="auto"/>
            </w:tcBorders>
          </w:tcPr>
          <w:p w14:paraId="25B4016E" w14:textId="77777777" w:rsidR="006033D7" w:rsidRPr="0098602B" w:rsidRDefault="006033D7">
            <w:pPr>
              <w:spacing w:before="120"/>
              <w:rPr>
                <w:b/>
              </w:rPr>
            </w:pPr>
            <w:r w:rsidRPr="0098602B">
              <w:rPr>
                <w:b/>
              </w:rPr>
              <w:t>Chair and Vice Chair</w:t>
            </w:r>
          </w:p>
          <w:p w14:paraId="05A79D99" w14:textId="5C6EF299" w:rsidR="006033D7" w:rsidRPr="0098602B" w:rsidRDefault="006033D7">
            <w:pPr>
              <w:spacing w:before="120"/>
            </w:pPr>
            <w:r w:rsidRPr="0098602B">
              <w:t xml:space="preserve">To include a rule that the </w:t>
            </w:r>
            <w:r w:rsidR="00646ADF" w:rsidRPr="0098602B">
              <w:t>C</w:t>
            </w:r>
            <w:r w:rsidRPr="0098602B">
              <w:t xml:space="preserve">hair of the Audit and Governance Committee should not be a member of the Cabinet to reflect the Chartered Institute of Public Finance and Accounting (CIPFA) guidance on the membership of audit and governance committees that the </w:t>
            </w:r>
            <w:r w:rsidR="00646ADF" w:rsidRPr="0098602B">
              <w:t>C</w:t>
            </w:r>
            <w:r w:rsidRPr="0098602B">
              <w:t>hair should not be a Cabinet Member to better facilitate the holding to account role that the committee has.</w:t>
            </w:r>
          </w:p>
          <w:p w14:paraId="159D39C7" w14:textId="77777777" w:rsidR="006033D7" w:rsidRPr="0098602B" w:rsidRDefault="006033D7">
            <w:pPr>
              <w:spacing w:before="120"/>
            </w:pPr>
            <w:r w:rsidRPr="0098602B">
              <w:rPr>
                <w:b/>
              </w:rPr>
              <w:t>Rationale:</w:t>
            </w:r>
            <w:r w:rsidRPr="0098602B">
              <w:t xml:space="preserve"> To reflect current CIPFA guidance which is intended to provide for public confidence in the objectivity of the Audit and Governance Committee.</w:t>
            </w:r>
          </w:p>
          <w:p w14:paraId="20962D6D" w14:textId="77777777" w:rsidR="006033D7" w:rsidRPr="0098602B" w:rsidRDefault="006033D7">
            <w:pPr>
              <w:spacing w:before="120"/>
              <w:rPr>
                <w:b/>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3C5967D8" w14:textId="3A8989F3" w:rsidR="006033D7" w:rsidRPr="0098602B" w:rsidRDefault="006033D7" w:rsidP="00F36E05"/>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7EE9A6A8" w14:textId="6AAC8A20" w:rsidR="006033D7" w:rsidRPr="0098602B" w:rsidRDefault="00966AE8">
            <w:pPr>
              <w:rPr>
                <w:bCs/>
              </w:rPr>
            </w:pPr>
            <w:r w:rsidRPr="0098602B">
              <w:rPr>
                <w:bCs/>
              </w:rPr>
              <w:t>1</w:t>
            </w:r>
            <w:r w:rsidR="006033D7" w:rsidRPr="0098602B">
              <w:rPr>
                <w:bCs/>
              </w:rPr>
              <w:t>4.5 Chair and Vice Chair</w:t>
            </w:r>
          </w:p>
          <w:p w14:paraId="64AB7F47" w14:textId="77777777" w:rsidR="006033D7" w:rsidRPr="0098602B" w:rsidRDefault="006033D7">
            <w:pPr>
              <w:rPr>
                <w:bCs/>
              </w:rPr>
            </w:pPr>
            <w:r w:rsidRPr="0098602B">
              <w:rPr>
                <w:bCs/>
              </w:rPr>
              <w:t>(a) Election of Chair and Vice Chair</w:t>
            </w:r>
          </w:p>
          <w:p w14:paraId="223EB790" w14:textId="77777777" w:rsidR="006033D7" w:rsidRPr="0098602B" w:rsidRDefault="006033D7">
            <w:pPr>
              <w:rPr>
                <w:bCs/>
              </w:rPr>
            </w:pPr>
            <w:r w:rsidRPr="0098602B">
              <w:rPr>
                <w:bCs/>
              </w:rPr>
              <w:t>The Chair and Vice Chair are elected each year at the first meeting of the committee after Annual Council.</w:t>
            </w:r>
          </w:p>
          <w:p w14:paraId="5B14D0F3" w14:textId="77777777" w:rsidR="006033D7" w:rsidRPr="0098602B" w:rsidRDefault="006033D7">
            <w:pPr>
              <w:rPr>
                <w:bCs/>
              </w:rPr>
            </w:pPr>
          </w:p>
          <w:p w14:paraId="48A0D89D" w14:textId="77777777" w:rsidR="006033D7" w:rsidRPr="0098602B" w:rsidRDefault="006033D7">
            <w:pPr>
              <w:rPr>
                <w:bCs/>
              </w:rPr>
            </w:pPr>
            <w:r w:rsidRPr="0098602B">
              <w:rPr>
                <w:bCs/>
              </w:rPr>
              <w:t>The Chair and Vice Chair of all the committees must be councillors.</w:t>
            </w:r>
          </w:p>
          <w:p w14:paraId="5DA2CCCF" w14:textId="77777777" w:rsidR="006033D7" w:rsidRPr="0098602B" w:rsidRDefault="006033D7">
            <w:pPr>
              <w:rPr>
                <w:bCs/>
              </w:rPr>
            </w:pPr>
          </w:p>
          <w:p w14:paraId="49980FDE" w14:textId="051462E3" w:rsidR="006033D7" w:rsidRPr="0098602B" w:rsidRDefault="006033D7">
            <w:pPr>
              <w:rPr>
                <w:bCs/>
                <w:u w:val="single"/>
              </w:rPr>
            </w:pPr>
            <w:r w:rsidRPr="0098602B">
              <w:rPr>
                <w:bCs/>
                <w:u w:val="single"/>
              </w:rPr>
              <w:t xml:space="preserve">The </w:t>
            </w:r>
            <w:r w:rsidR="00646ADF" w:rsidRPr="0098602B">
              <w:rPr>
                <w:bCs/>
                <w:u w:val="single"/>
              </w:rPr>
              <w:t>C</w:t>
            </w:r>
            <w:r w:rsidRPr="0098602B">
              <w:rPr>
                <w:bCs/>
                <w:u w:val="single"/>
              </w:rPr>
              <w:t xml:space="preserve">hair of the Audit and Governance Committee must not be </w:t>
            </w:r>
            <w:r w:rsidR="00E4213A" w:rsidRPr="0098602B">
              <w:rPr>
                <w:bCs/>
                <w:u w:val="single"/>
              </w:rPr>
              <w:t xml:space="preserve">a </w:t>
            </w:r>
            <w:r w:rsidRPr="0098602B">
              <w:rPr>
                <w:bCs/>
                <w:u w:val="single"/>
              </w:rPr>
              <w:t xml:space="preserve">member of the Cabinet. </w:t>
            </w:r>
          </w:p>
          <w:p w14:paraId="69A59C5A" w14:textId="77777777" w:rsidR="006033D7" w:rsidRPr="0098602B" w:rsidRDefault="006033D7">
            <w:pPr>
              <w:rPr>
                <w:bCs/>
              </w:rPr>
            </w:pPr>
          </w:p>
          <w:p w14:paraId="4CF19A9E" w14:textId="77777777" w:rsidR="006033D7" w:rsidRPr="0098602B" w:rsidRDefault="006033D7">
            <w:pPr>
              <w:rPr>
                <w:bCs/>
              </w:rPr>
            </w:pPr>
          </w:p>
        </w:tc>
      </w:tr>
      <w:tr w:rsidR="00F3216D" w:rsidRPr="0098602B" w14:paraId="3C834844" w14:textId="77777777" w:rsidTr="00F3216D">
        <w:trPr>
          <w:trHeight w:val="2364"/>
        </w:trPr>
        <w:tc>
          <w:tcPr>
            <w:tcW w:w="1162" w:type="dxa"/>
            <w:tcBorders>
              <w:top w:val="single" w:sz="4" w:space="0" w:color="auto"/>
              <w:left w:val="single" w:sz="4" w:space="0" w:color="auto"/>
              <w:right w:val="single" w:sz="4" w:space="0" w:color="auto"/>
            </w:tcBorders>
            <w:shd w:val="clear" w:color="auto" w:fill="auto"/>
            <w:vAlign w:val="center"/>
          </w:tcPr>
          <w:p w14:paraId="7D94B0DB" w14:textId="397DE93C" w:rsidR="00F3216D" w:rsidRPr="0098602B" w:rsidRDefault="00F3216D" w:rsidP="00F3216D">
            <w:pPr>
              <w:jc w:val="center"/>
              <w:rPr>
                <w:bCs/>
              </w:rPr>
            </w:pPr>
            <w:r w:rsidRPr="005B4CCE">
              <w:rPr>
                <w:bCs/>
              </w:rPr>
              <w:t>14.1</w:t>
            </w:r>
            <w:r>
              <w:rPr>
                <w:bCs/>
              </w:rPr>
              <w:t>1</w:t>
            </w:r>
          </w:p>
        </w:tc>
        <w:tc>
          <w:tcPr>
            <w:tcW w:w="6521" w:type="dxa"/>
            <w:tcBorders>
              <w:top w:val="single" w:sz="4" w:space="0" w:color="auto"/>
              <w:left w:val="single" w:sz="4" w:space="0" w:color="auto"/>
              <w:bottom w:val="single" w:sz="4" w:space="0" w:color="auto"/>
              <w:right w:val="single" w:sz="4" w:space="0" w:color="auto"/>
            </w:tcBorders>
          </w:tcPr>
          <w:p w14:paraId="2E696E07" w14:textId="77777777" w:rsidR="00F3216D" w:rsidRDefault="00F3216D" w:rsidP="00F3216D">
            <w:pPr>
              <w:spacing w:before="120"/>
              <w:rPr>
                <w:b/>
              </w:rPr>
            </w:pPr>
            <w:r>
              <w:rPr>
                <w:b/>
              </w:rPr>
              <w:t>Planning Committee procedures</w:t>
            </w:r>
          </w:p>
          <w:p w14:paraId="1DAEC41C" w14:textId="16DFC292" w:rsidR="00F3216D" w:rsidRDefault="00F3216D" w:rsidP="00F3216D">
            <w:pPr>
              <w:rPr>
                <w:bCs/>
                <w:kern w:val="32"/>
              </w:rPr>
            </w:pPr>
            <w:r>
              <w:rPr>
                <w:bCs/>
                <w:kern w:val="32"/>
              </w:rPr>
              <w:t xml:space="preserve">A change to the planning committee structure to merge the two area planning committees and to increase delegation levels has been included in the draft budget approved by Cabinet on 9 December 2020. </w:t>
            </w:r>
            <w:r w:rsidR="00713183">
              <w:rPr>
                <w:bCs/>
                <w:kern w:val="32"/>
              </w:rPr>
              <w:t>This change would come into effect from May 2021.</w:t>
            </w:r>
          </w:p>
          <w:p w14:paraId="54A6172D" w14:textId="36B8BEE4" w:rsidR="00F3216D" w:rsidRDefault="00F3216D" w:rsidP="00F3216D">
            <w:pPr>
              <w:spacing w:before="120"/>
            </w:pPr>
            <w:r>
              <w:rPr>
                <w:b/>
              </w:rPr>
              <w:t xml:space="preserve">Rational: </w:t>
            </w:r>
            <w:r>
              <w:t>To reflect that the single area planning committee would be responsible for determining applications that meet the thresholds set out in Part 5.3 in</w:t>
            </w:r>
            <w:r w:rsidRPr="00F3216D">
              <w:t xml:space="preserve"> all wards</w:t>
            </w:r>
            <w:r>
              <w:t xml:space="preserve"> within the city.</w:t>
            </w:r>
          </w:p>
          <w:p w14:paraId="4C51B459" w14:textId="77777777" w:rsidR="00F3216D" w:rsidRPr="0098602B" w:rsidRDefault="00F3216D" w:rsidP="00F3216D">
            <w:pPr>
              <w:spacing w:before="120"/>
              <w:rPr>
                <w:b/>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5809EA8" w14:textId="77777777" w:rsidR="00F3216D" w:rsidRPr="0098602B" w:rsidRDefault="00F3216D" w:rsidP="00F3216D"/>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790F7411" w14:textId="77777777" w:rsidR="00F3216D" w:rsidRDefault="00F3216D" w:rsidP="00F3216D">
            <w:pPr>
              <w:autoSpaceDE w:val="0"/>
              <w:autoSpaceDN w:val="0"/>
              <w:adjustRightInd w:val="0"/>
              <w:rPr>
                <w:lang w:eastAsia="en-GB"/>
              </w:rPr>
            </w:pPr>
          </w:p>
          <w:p w14:paraId="60E4A0CB" w14:textId="77777777" w:rsidR="00F3216D" w:rsidRDefault="00F3216D" w:rsidP="00F3216D">
            <w:pPr>
              <w:autoSpaceDE w:val="0"/>
              <w:autoSpaceDN w:val="0"/>
              <w:adjustRightInd w:val="0"/>
              <w:rPr>
                <w:lang w:eastAsia="en-GB"/>
              </w:rPr>
            </w:pPr>
            <w:r>
              <w:rPr>
                <w:lang w:eastAsia="en-GB"/>
              </w:rPr>
              <w:t>(a) Appointments to planning committees</w:t>
            </w:r>
          </w:p>
          <w:p w14:paraId="3DF965E3" w14:textId="77777777" w:rsidR="00F3216D" w:rsidRDefault="00F3216D" w:rsidP="00F3216D">
            <w:pPr>
              <w:autoSpaceDE w:val="0"/>
              <w:autoSpaceDN w:val="0"/>
              <w:adjustRightInd w:val="0"/>
              <w:rPr>
                <w:lang w:eastAsia="en-GB"/>
              </w:rPr>
            </w:pPr>
            <w:r>
              <w:rPr>
                <w:lang w:eastAsia="en-GB"/>
              </w:rPr>
              <w:t xml:space="preserve">Council may not appoint a councillor to more than one planning committee. Any councillor that determines an application at </w:t>
            </w:r>
            <w:r w:rsidRPr="0023383F">
              <w:rPr>
                <w:strike/>
                <w:lang w:eastAsia="en-GB"/>
              </w:rPr>
              <w:t>an Area</w:t>
            </w:r>
            <w:r>
              <w:rPr>
                <w:lang w:eastAsia="en-GB"/>
              </w:rPr>
              <w:t xml:space="preserve"> </w:t>
            </w:r>
            <w:r w:rsidRPr="0023383F">
              <w:rPr>
                <w:u w:val="single"/>
                <w:lang w:eastAsia="en-GB"/>
              </w:rPr>
              <w:t>the Oxford City</w:t>
            </w:r>
            <w:r>
              <w:rPr>
                <w:lang w:eastAsia="en-GB"/>
              </w:rPr>
              <w:t xml:space="preserve"> Planning Committee cannot re-determine the same application at the Planning Review Committee.</w:t>
            </w:r>
          </w:p>
          <w:p w14:paraId="23C67CA6" w14:textId="77777777" w:rsidR="00F3216D" w:rsidRDefault="00F3216D" w:rsidP="00F3216D">
            <w:pPr>
              <w:autoSpaceDE w:val="0"/>
              <w:autoSpaceDN w:val="0"/>
              <w:adjustRightInd w:val="0"/>
              <w:rPr>
                <w:lang w:eastAsia="en-GB"/>
              </w:rPr>
            </w:pPr>
          </w:p>
          <w:p w14:paraId="10A8B537" w14:textId="77777777" w:rsidR="00F3216D" w:rsidRPr="0023383F" w:rsidRDefault="00F3216D" w:rsidP="00F3216D">
            <w:pPr>
              <w:autoSpaceDE w:val="0"/>
              <w:autoSpaceDN w:val="0"/>
              <w:adjustRightInd w:val="0"/>
              <w:rPr>
                <w:u w:val="single"/>
                <w:lang w:eastAsia="en-GB"/>
              </w:rPr>
            </w:pPr>
            <w:r>
              <w:rPr>
                <w:u w:val="single"/>
                <w:lang w:eastAsia="en-GB"/>
              </w:rPr>
              <w:t>The Oxford City Planning Committee shall be responsible for reaching decisions on the matters in 5.3 within all wards.</w:t>
            </w:r>
          </w:p>
          <w:p w14:paraId="333CA858" w14:textId="77777777" w:rsidR="00F3216D" w:rsidRDefault="00F3216D" w:rsidP="00F3216D">
            <w:pPr>
              <w:autoSpaceDE w:val="0"/>
              <w:autoSpaceDN w:val="0"/>
              <w:adjustRightInd w:val="0"/>
              <w:rPr>
                <w:lang w:eastAsia="en-GB"/>
              </w:rPr>
            </w:pPr>
          </w:p>
          <w:p w14:paraId="3912F5A3" w14:textId="77777777" w:rsidR="00F3216D" w:rsidRPr="0023383F" w:rsidRDefault="00F3216D" w:rsidP="00F3216D">
            <w:pPr>
              <w:autoSpaceDE w:val="0"/>
              <w:autoSpaceDN w:val="0"/>
              <w:adjustRightInd w:val="0"/>
              <w:rPr>
                <w:strike/>
                <w:lang w:eastAsia="en-GB"/>
              </w:rPr>
            </w:pPr>
            <w:r w:rsidRPr="0023383F">
              <w:rPr>
                <w:strike/>
                <w:lang w:eastAsia="en-GB"/>
              </w:rPr>
              <w:t>The East Area Planning Committee shall be responsible for reaching decisions on the matters in 5.3 within the following wards:</w:t>
            </w:r>
          </w:p>
          <w:p w14:paraId="27663480" w14:textId="77777777" w:rsidR="00F3216D" w:rsidRPr="0023383F" w:rsidRDefault="00F3216D" w:rsidP="00F3216D">
            <w:pPr>
              <w:autoSpaceDE w:val="0"/>
              <w:autoSpaceDN w:val="0"/>
              <w:adjustRightInd w:val="0"/>
              <w:rPr>
                <w:strike/>
                <w:lang w:eastAsia="en-GB"/>
              </w:rPr>
            </w:pPr>
            <w:r w:rsidRPr="0023383F">
              <w:rPr>
                <w:rFonts w:ascii="Symbol" w:hAnsi="Symbol" w:cs="Symbol"/>
                <w:strike/>
                <w:lang w:eastAsia="en-GB"/>
              </w:rPr>
              <w:t></w:t>
            </w:r>
            <w:r w:rsidRPr="0023383F">
              <w:rPr>
                <w:rFonts w:ascii="Symbol" w:hAnsi="Symbol" w:cs="Symbol"/>
                <w:strike/>
                <w:lang w:eastAsia="en-GB"/>
              </w:rPr>
              <w:t></w:t>
            </w:r>
            <w:r w:rsidRPr="0023383F">
              <w:rPr>
                <w:strike/>
                <w:lang w:eastAsia="en-GB"/>
              </w:rPr>
              <w:t xml:space="preserve">Barton and </w:t>
            </w:r>
            <w:proofErr w:type="spellStart"/>
            <w:r w:rsidRPr="0023383F">
              <w:rPr>
                <w:strike/>
                <w:lang w:eastAsia="en-GB"/>
              </w:rPr>
              <w:t>Sandhills</w:t>
            </w:r>
            <w:proofErr w:type="spellEnd"/>
            <w:r w:rsidRPr="0023383F">
              <w:rPr>
                <w:strike/>
                <w:lang w:eastAsia="en-GB"/>
              </w:rPr>
              <w:t xml:space="preserve">, Blackbird Leys, Churchill, Cowley, Cowley Marsh, </w:t>
            </w:r>
            <w:proofErr w:type="spellStart"/>
            <w:r w:rsidRPr="0023383F">
              <w:rPr>
                <w:strike/>
                <w:lang w:eastAsia="en-GB"/>
              </w:rPr>
              <w:t>Headington</w:t>
            </w:r>
            <w:proofErr w:type="spellEnd"/>
            <w:r w:rsidRPr="0023383F">
              <w:rPr>
                <w:strike/>
                <w:lang w:eastAsia="en-GB"/>
              </w:rPr>
              <w:t xml:space="preserve">, </w:t>
            </w:r>
            <w:proofErr w:type="spellStart"/>
            <w:r w:rsidRPr="0023383F">
              <w:rPr>
                <w:strike/>
                <w:lang w:eastAsia="en-GB"/>
              </w:rPr>
              <w:t>Headington</w:t>
            </w:r>
            <w:proofErr w:type="spellEnd"/>
            <w:r w:rsidRPr="0023383F">
              <w:rPr>
                <w:strike/>
                <w:lang w:eastAsia="en-GB"/>
              </w:rPr>
              <w:t xml:space="preserve"> Hill and Northway, Littlemore, Lye Valley, Marston, Northfield Brook, Quarry, </w:t>
            </w:r>
            <w:proofErr w:type="spellStart"/>
            <w:r w:rsidRPr="0023383F">
              <w:rPr>
                <w:strike/>
                <w:lang w:eastAsia="en-GB"/>
              </w:rPr>
              <w:t>Risinghurst</w:t>
            </w:r>
            <w:proofErr w:type="spellEnd"/>
            <w:r w:rsidRPr="0023383F">
              <w:rPr>
                <w:strike/>
                <w:lang w:eastAsia="en-GB"/>
              </w:rPr>
              <w:t xml:space="preserve"> and Rose Hill and </w:t>
            </w:r>
            <w:proofErr w:type="spellStart"/>
            <w:r w:rsidRPr="0023383F">
              <w:rPr>
                <w:strike/>
                <w:lang w:eastAsia="en-GB"/>
              </w:rPr>
              <w:t>Iffley</w:t>
            </w:r>
            <w:proofErr w:type="spellEnd"/>
          </w:p>
          <w:p w14:paraId="16F8D484" w14:textId="77777777" w:rsidR="00F3216D" w:rsidRPr="0023383F" w:rsidRDefault="00F3216D" w:rsidP="00F3216D">
            <w:pPr>
              <w:autoSpaceDE w:val="0"/>
              <w:autoSpaceDN w:val="0"/>
              <w:adjustRightInd w:val="0"/>
              <w:rPr>
                <w:strike/>
                <w:lang w:eastAsia="en-GB"/>
              </w:rPr>
            </w:pPr>
            <w:r w:rsidRPr="0023383F">
              <w:rPr>
                <w:strike/>
                <w:lang w:eastAsia="en-GB"/>
              </w:rPr>
              <w:t>The West Area Planning Committee shall be responsible for reaching decisions on the matters in 5.3 within the following wards:</w:t>
            </w:r>
          </w:p>
          <w:p w14:paraId="62539B8D" w14:textId="62FD8067" w:rsidR="00F3216D" w:rsidRPr="0098602B" w:rsidRDefault="00F3216D" w:rsidP="00F3216D">
            <w:pPr>
              <w:rPr>
                <w:bCs/>
              </w:rPr>
            </w:pPr>
            <w:r w:rsidRPr="0023383F">
              <w:rPr>
                <w:rFonts w:ascii="Symbol" w:hAnsi="Symbol" w:cs="Symbol"/>
                <w:strike/>
                <w:lang w:eastAsia="en-GB"/>
              </w:rPr>
              <w:t></w:t>
            </w:r>
            <w:r w:rsidRPr="0023383F">
              <w:rPr>
                <w:rFonts w:ascii="Symbol" w:hAnsi="Symbol" w:cs="Symbol"/>
                <w:strike/>
                <w:lang w:eastAsia="en-GB"/>
              </w:rPr>
              <w:t></w:t>
            </w:r>
            <w:r w:rsidRPr="0023383F">
              <w:rPr>
                <w:strike/>
                <w:lang w:eastAsia="en-GB"/>
              </w:rPr>
              <w:t xml:space="preserve">Carfax, </w:t>
            </w:r>
            <w:proofErr w:type="spellStart"/>
            <w:r w:rsidRPr="0023383F">
              <w:rPr>
                <w:strike/>
                <w:lang w:eastAsia="en-GB"/>
              </w:rPr>
              <w:t>Hinksey</w:t>
            </w:r>
            <w:proofErr w:type="spellEnd"/>
            <w:r w:rsidRPr="0023383F">
              <w:rPr>
                <w:strike/>
                <w:lang w:eastAsia="en-GB"/>
              </w:rPr>
              <w:t xml:space="preserve"> Park, Holywell, </w:t>
            </w:r>
            <w:proofErr w:type="spellStart"/>
            <w:r w:rsidRPr="0023383F">
              <w:rPr>
                <w:strike/>
                <w:lang w:eastAsia="en-GB"/>
              </w:rPr>
              <w:t>Iffley</w:t>
            </w:r>
            <w:proofErr w:type="spellEnd"/>
            <w:r w:rsidRPr="0023383F">
              <w:rPr>
                <w:strike/>
                <w:lang w:eastAsia="en-GB"/>
              </w:rPr>
              <w:t xml:space="preserve"> Fields, Jericho and </w:t>
            </w:r>
            <w:proofErr w:type="spellStart"/>
            <w:r w:rsidRPr="0023383F">
              <w:rPr>
                <w:strike/>
                <w:lang w:eastAsia="en-GB"/>
              </w:rPr>
              <w:t>Osney</w:t>
            </w:r>
            <w:proofErr w:type="spellEnd"/>
            <w:r w:rsidRPr="0023383F">
              <w:rPr>
                <w:strike/>
                <w:lang w:eastAsia="en-GB"/>
              </w:rPr>
              <w:t xml:space="preserve">, North, St. </w:t>
            </w:r>
            <w:proofErr w:type="spellStart"/>
            <w:r w:rsidRPr="0023383F">
              <w:rPr>
                <w:strike/>
                <w:lang w:eastAsia="en-GB"/>
              </w:rPr>
              <w:t>Clement’s</w:t>
            </w:r>
            <w:proofErr w:type="spellEnd"/>
            <w:r w:rsidRPr="0023383F">
              <w:rPr>
                <w:strike/>
                <w:lang w:eastAsia="en-GB"/>
              </w:rPr>
              <w:t xml:space="preserve">, St. Margaret’s, St. Mary’s, Summertown, </w:t>
            </w:r>
            <w:proofErr w:type="spellStart"/>
            <w:r w:rsidRPr="0023383F">
              <w:rPr>
                <w:strike/>
                <w:lang w:eastAsia="en-GB"/>
              </w:rPr>
              <w:t>Wolvercote</w:t>
            </w:r>
            <w:proofErr w:type="spellEnd"/>
            <w:r w:rsidRPr="0023383F">
              <w:rPr>
                <w:strike/>
                <w:lang w:eastAsia="en-GB"/>
              </w:rPr>
              <w:t>.</w:t>
            </w:r>
          </w:p>
        </w:tc>
      </w:tr>
      <w:tr w:rsidR="00743045" w:rsidRPr="00766373" w14:paraId="2028FC64" w14:textId="77777777" w:rsidTr="00AB2A54">
        <w:trPr>
          <w:trHeight w:val="561"/>
        </w:trPr>
        <w:tc>
          <w:tcPr>
            <w:tcW w:w="1162" w:type="dxa"/>
            <w:tcBorders>
              <w:bottom w:val="single" w:sz="4" w:space="0" w:color="auto"/>
            </w:tcBorders>
            <w:shd w:val="clear" w:color="auto" w:fill="F2F2F2" w:themeFill="background1" w:themeFillShade="F2"/>
            <w:vAlign w:val="center"/>
          </w:tcPr>
          <w:p w14:paraId="29E5A0F2" w14:textId="77777777" w:rsidR="00743045" w:rsidRPr="004A0FB9" w:rsidRDefault="00743045" w:rsidP="00803D6D">
            <w:pPr>
              <w:jc w:val="center"/>
              <w:rPr>
                <w:b/>
                <w:bCs/>
              </w:rPr>
            </w:pPr>
            <w:r w:rsidRPr="004A0FB9">
              <w:rPr>
                <w:b/>
                <w:bCs/>
              </w:rPr>
              <w:t xml:space="preserve">Part </w:t>
            </w:r>
            <w:r>
              <w:rPr>
                <w:b/>
                <w:bCs/>
              </w:rPr>
              <w:t>17</w:t>
            </w:r>
          </w:p>
        </w:tc>
        <w:tc>
          <w:tcPr>
            <w:tcW w:w="6522" w:type="dxa"/>
            <w:tcBorders>
              <w:bottom w:val="single" w:sz="4" w:space="0" w:color="auto"/>
              <w:right w:val="nil"/>
            </w:tcBorders>
            <w:shd w:val="clear" w:color="auto" w:fill="F2F2F2" w:themeFill="background1" w:themeFillShade="F2"/>
          </w:tcPr>
          <w:p w14:paraId="695C3369" w14:textId="77777777" w:rsidR="00743045" w:rsidRPr="004C3D2A" w:rsidRDefault="00743045" w:rsidP="00803D6D">
            <w:pPr>
              <w:spacing w:before="120"/>
              <w:rPr>
                <w:b/>
              </w:rPr>
            </w:pPr>
            <w:r>
              <w:rPr>
                <w:b/>
              </w:rPr>
              <w:t>Call-in procedures</w:t>
            </w:r>
          </w:p>
        </w:tc>
        <w:tc>
          <w:tcPr>
            <w:tcW w:w="1276" w:type="dxa"/>
            <w:tcBorders>
              <w:left w:val="nil"/>
              <w:bottom w:val="single" w:sz="4" w:space="0" w:color="auto"/>
              <w:right w:val="nil"/>
            </w:tcBorders>
            <w:shd w:val="clear" w:color="auto" w:fill="F2F2F2" w:themeFill="background1" w:themeFillShade="F2"/>
            <w:vAlign w:val="center"/>
          </w:tcPr>
          <w:p w14:paraId="112D38A3" w14:textId="77777777" w:rsidR="00743045" w:rsidRPr="00A954D9" w:rsidRDefault="00743045" w:rsidP="00803D6D"/>
        </w:tc>
        <w:tc>
          <w:tcPr>
            <w:tcW w:w="6237" w:type="dxa"/>
            <w:tcBorders>
              <w:left w:val="nil"/>
              <w:bottom w:val="single" w:sz="4" w:space="0" w:color="auto"/>
            </w:tcBorders>
            <w:shd w:val="clear" w:color="auto" w:fill="F2F2F2" w:themeFill="background1" w:themeFillShade="F2"/>
            <w:vAlign w:val="center"/>
          </w:tcPr>
          <w:p w14:paraId="0EE27180" w14:textId="77777777" w:rsidR="00743045" w:rsidRPr="00766373" w:rsidRDefault="00743045" w:rsidP="00803D6D">
            <w:pPr>
              <w:rPr>
                <w:bCs/>
              </w:rPr>
            </w:pPr>
          </w:p>
        </w:tc>
      </w:tr>
      <w:tr w:rsidR="00743045" w:rsidRPr="00463A0B" w14:paraId="6CBDD604" w14:textId="77777777" w:rsidTr="00AB2A54">
        <w:trPr>
          <w:trHeight w:val="612"/>
        </w:trPr>
        <w:tc>
          <w:tcPr>
            <w:tcW w:w="1162" w:type="dxa"/>
            <w:tcBorders>
              <w:top w:val="single" w:sz="4" w:space="0" w:color="auto"/>
              <w:left w:val="single" w:sz="4" w:space="0" w:color="auto"/>
              <w:right w:val="single" w:sz="4" w:space="0" w:color="auto"/>
            </w:tcBorders>
            <w:shd w:val="clear" w:color="auto" w:fill="auto"/>
            <w:vAlign w:val="center"/>
          </w:tcPr>
          <w:p w14:paraId="5F674757" w14:textId="77777777" w:rsidR="00743045" w:rsidRPr="00454AAF" w:rsidRDefault="00743045" w:rsidP="00803D6D">
            <w:pPr>
              <w:jc w:val="center"/>
              <w:rPr>
                <w:bCs/>
              </w:rPr>
            </w:pPr>
            <w:r>
              <w:rPr>
                <w:bCs/>
              </w:rPr>
              <w:t>17.4</w:t>
            </w:r>
          </w:p>
        </w:tc>
        <w:tc>
          <w:tcPr>
            <w:tcW w:w="6522" w:type="dxa"/>
            <w:tcBorders>
              <w:top w:val="single" w:sz="4" w:space="0" w:color="auto"/>
              <w:left w:val="single" w:sz="4" w:space="0" w:color="auto"/>
              <w:bottom w:val="single" w:sz="4" w:space="0" w:color="auto"/>
              <w:right w:val="single" w:sz="4" w:space="0" w:color="auto"/>
            </w:tcBorders>
          </w:tcPr>
          <w:p w14:paraId="1828CB98" w14:textId="77777777" w:rsidR="00743045" w:rsidRDefault="00743045" w:rsidP="00803D6D">
            <w:pPr>
              <w:spacing w:before="120"/>
              <w:rPr>
                <w:b/>
              </w:rPr>
            </w:pPr>
            <w:r>
              <w:rPr>
                <w:b/>
              </w:rPr>
              <w:t>How are decisions called in?</w:t>
            </w:r>
          </w:p>
          <w:p w14:paraId="70174AC7" w14:textId="77777777" w:rsidR="00743045" w:rsidRDefault="00743045" w:rsidP="00803D6D">
            <w:pPr>
              <w:spacing w:before="120"/>
            </w:pPr>
            <w:r w:rsidRPr="00A56593">
              <w:t xml:space="preserve">To strengthen the grounds for call in to </w:t>
            </w:r>
            <w:r>
              <w:t>the Oxford City Planning C</w:t>
            </w:r>
            <w:r w:rsidRPr="00A56593">
              <w:t>ommittee</w:t>
            </w:r>
            <w:r>
              <w:t xml:space="preserve"> to require </w:t>
            </w:r>
            <w:r>
              <w:lastRenderedPageBreak/>
              <w:t>relevant material planning considerations</w:t>
            </w:r>
            <w:r w:rsidRPr="00A56593">
              <w:t xml:space="preserve">. Currently the Constitution states that call-in to an area planning committee must be supported by reasons but these do not have to be confined to relevant </w:t>
            </w:r>
            <w:r>
              <w:t xml:space="preserve">material </w:t>
            </w:r>
            <w:r w:rsidRPr="00A56593">
              <w:t>planning considerations.</w:t>
            </w:r>
          </w:p>
          <w:p w14:paraId="489C95D9" w14:textId="77777777" w:rsidR="00743045" w:rsidRDefault="00743045" w:rsidP="00803D6D">
            <w:pPr>
              <w:spacing w:before="120"/>
            </w:pPr>
            <w:r w:rsidRPr="004F5A7B">
              <w:rPr>
                <w:b/>
              </w:rPr>
              <w:t xml:space="preserve">Rationale: </w:t>
            </w:r>
            <w:r w:rsidRPr="004F5A7B">
              <w:t xml:space="preserve">To reduce the number of </w:t>
            </w:r>
            <w:r>
              <w:t xml:space="preserve">applications </w:t>
            </w:r>
            <w:r w:rsidRPr="004F5A7B">
              <w:t>taken to committee, and also improve the level of service for applicants and other interested parties.</w:t>
            </w:r>
            <w:r>
              <w:t xml:space="preserve"> T</w:t>
            </w:r>
            <w:r w:rsidRPr="004F5A7B">
              <w:t xml:space="preserve">he inclusion of a relevant </w:t>
            </w:r>
            <w:r>
              <w:t xml:space="preserve">material </w:t>
            </w:r>
            <w:r w:rsidRPr="004F5A7B">
              <w:t>planning consideration would place a greater rigour on the call-in process and reduce the number of unnecessary call-ins to the committee allowing more time to be taken discussing the other more significant items on the agenda that would benefit fro</w:t>
            </w:r>
            <w:r>
              <w:t>m having a greater discussion. T</w:t>
            </w:r>
            <w:r w:rsidRPr="00F10152">
              <w:t>he Head of Planning Services w</w:t>
            </w:r>
            <w:r>
              <w:t>ould</w:t>
            </w:r>
            <w:r w:rsidRPr="00F10152">
              <w:t xml:space="preserve"> speak to the member before deciding the reason is not a </w:t>
            </w:r>
            <w:r>
              <w:t xml:space="preserve">relevant </w:t>
            </w:r>
            <w:r w:rsidRPr="00F10152">
              <w:t>material planning consideration and the benefit of any doubt will be agreed in favour of a member’s right to call in an application.</w:t>
            </w:r>
          </w:p>
          <w:p w14:paraId="1BE34DDF" w14:textId="49C859E7" w:rsidR="00743045" w:rsidRPr="00E90BA4" w:rsidRDefault="00743045" w:rsidP="00803D6D">
            <w:pPr>
              <w:spacing w:before="120"/>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A2F281E" w14:textId="77777777" w:rsidR="00743045" w:rsidRPr="00E372D1" w:rsidRDefault="00743045" w:rsidP="00803D6D"/>
        </w:tc>
        <w:tc>
          <w:tcPr>
            <w:tcW w:w="6237" w:type="dxa"/>
            <w:tcBorders>
              <w:top w:val="single" w:sz="4" w:space="0" w:color="auto"/>
              <w:left w:val="single" w:sz="4" w:space="0" w:color="auto"/>
              <w:bottom w:val="single" w:sz="4" w:space="0" w:color="auto"/>
              <w:right w:val="single" w:sz="4" w:space="0" w:color="auto"/>
            </w:tcBorders>
            <w:shd w:val="clear" w:color="auto" w:fill="auto"/>
          </w:tcPr>
          <w:p w14:paraId="7E230B5E" w14:textId="77777777" w:rsidR="00743045" w:rsidRDefault="00743045" w:rsidP="00803D6D">
            <w:pPr>
              <w:autoSpaceDE w:val="0"/>
              <w:autoSpaceDN w:val="0"/>
              <w:adjustRightInd w:val="0"/>
              <w:rPr>
                <w:lang w:eastAsia="en-GB"/>
              </w:rPr>
            </w:pPr>
          </w:p>
          <w:p w14:paraId="21781ABF" w14:textId="77777777" w:rsidR="00743045" w:rsidRDefault="00743045" w:rsidP="00803D6D">
            <w:pPr>
              <w:autoSpaceDE w:val="0"/>
              <w:autoSpaceDN w:val="0"/>
              <w:adjustRightInd w:val="0"/>
              <w:rPr>
                <w:lang w:eastAsia="en-GB"/>
              </w:rPr>
            </w:pPr>
            <w:r>
              <w:rPr>
                <w:lang w:eastAsia="en-GB"/>
              </w:rPr>
              <w:lastRenderedPageBreak/>
              <w:t>Decisions are called in by sending notice of call-in to the Head of Law and Governance or emailing it to the internal call-in mailbox.</w:t>
            </w:r>
          </w:p>
          <w:p w14:paraId="17A6E622" w14:textId="77777777" w:rsidR="00743045" w:rsidRDefault="00743045" w:rsidP="00803D6D">
            <w:pPr>
              <w:autoSpaceDE w:val="0"/>
              <w:autoSpaceDN w:val="0"/>
              <w:adjustRightInd w:val="0"/>
              <w:rPr>
                <w:lang w:eastAsia="en-GB"/>
              </w:rPr>
            </w:pPr>
          </w:p>
          <w:p w14:paraId="78D76A88" w14:textId="77777777" w:rsidR="00743045" w:rsidRDefault="00743045" w:rsidP="00803D6D">
            <w:pPr>
              <w:autoSpaceDE w:val="0"/>
              <w:autoSpaceDN w:val="0"/>
              <w:adjustRightInd w:val="0"/>
              <w:rPr>
                <w:lang w:eastAsia="en-GB"/>
              </w:rPr>
            </w:pPr>
            <w:r w:rsidRPr="001740FA">
              <w:rPr>
                <w:strike/>
                <w:lang w:eastAsia="en-GB"/>
              </w:rPr>
              <w:t>Reasons for all call-ins must be given. A planning call-in to the Planning Review Committee must be supported by relevant planning considerations. A planning call-in to an area planning committee must be supported by reasons but these do not have to be confined to relevant planning considerations</w:t>
            </w:r>
            <w:r w:rsidRPr="00743045">
              <w:rPr>
                <w:strike/>
                <w:lang w:eastAsia="en-GB"/>
              </w:rPr>
              <w:t>.</w:t>
            </w:r>
            <w:r w:rsidRPr="00743045">
              <w:rPr>
                <w:lang w:eastAsia="en-GB"/>
              </w:rPr>
              <w:t xml:space="preserve"> </w:t>
            </w:r>
            <w:r w:rsidRPr="00743045">
              <w:rPr>
                <w:u w:val="single"/>
                <w:lang w:eastAsia="en-GB"/>
              </w:rPr>
              <w:t>All planning call ins must be supported by relevant material planning considerations.</w:t>
            </w:r>
            <w:r>
              <w:rPr>
                <w:u w:val="single"/>
                <w:lang w:eastAsia="en-GB"/>
              </w:rPr>
              <w:t xml:space="preserve"> </w:t>
            </w:r>
            <w:r>
              <w:rPr>
                <w:lang w:eastAsia="en-GB"/>
              </w:rPr>
              <w:t>If an executive decision is being called in because it is believed to be outside the budget and policy framework, the notice of call-in must say so.</w:t>
            </w:r>
          </w:p>
          <w:p w14:paraId="7B1EEED8" w14:textId="77777777" w:rsidR="00743045" w:rsidRPr="00463A0B" w:rsidRDefault="00743045" w:rsidP="00803D6D">
            <w:pPr>
              <w:autoSpaceDE w:val="0"/>
              <w:autoSpaceDN w:val="0"/>
              <w:adjustRightInd w:val="0"/>
              <w:rPr>
                <w:bCs/>
                <w:i/>
              </w:rPr>
            </w:pPr>
          </w:p>
        </w:tc>
      </w:tr>
      <w:tr w:rsidR="0098602B" w:rsidRPr="0098602B" w14:paraId="3DFD34D2" w14:textId="77777777" w:rsidTr="00F3216D">
        <w:trPr>
          <w:trHeight w:val="561"/>
        </w:trPr>
        <w:tc>
          <w:tcPr>
            <w:tcW w:w="1162" w:type="dxa"/>
            <w:tcBorders>
              <w:bottom w:val="single" w:sz="4" w:space="0" w:color="auto"/>
            </w:tcBorders>
            <w:shd w:val="clear" w:color="auto" w:fill="F2F2F2" w:themeFill="background1" w:themeFillShade="F2"/>
            <w:vAlign w:val="center"/>
          </w:tcPr>
          <w:p w14:paraId="6C104909" w14:textId="1AA1E824" w:rsidR="002B354C" w:rsidRPr="0098602B" w:rsidRDefault="002B354C" w:rsidP="002B354C">
            <w:pPr>
              <w:jc w:val="center"/>
              <w:rPr>
                <w:b/>
                <w:bCs/>
              </w:rPr>
            </w:pPr>
            <w:r w:rsidRPr="0098602B">
              <w:rPr>
                <w:b/>
                <w:bCs/>
              </w:rPr>
              <w:lastRenderedPageBreak/>
              <w:t>Part 18</w:t>
            </w:r>
          </w:p>
        </w:tc>
        <w:tc>
          <w:tcPr>
            <w:tcW w:w="6521" w:type="dxa"/>
            <w:tcBorders>
              <w:bottom w:val="single" w:sz="4" w:space="0" w:color="auto"/>
              <w:right w:val="nil"/>
            </w:tcBorders>
            <w:shd w:val="clear" w:color="auto" w:fill="F2F2F2" w:themeFill="background1" w:themeFillShade="F2"/>
          </w:tcPr>
          <w:p w14:paraId="47CED82D" w14:textId="382F71DE" w:rsidR="002B354C" w:rsidRPr="0098602B" w:rsidRDefault="002B354C">
            <w:pPr>
              <w:spacing w:before="120"/>
              <w:rPr>
                <w:b/>
              </w:rPr>
            </w:pPr>
            <w:r w:rsidRPr="0098602B">
              <w:rPr>
                <w:b/>
              </w:rPr>
              <w:t>Finance rules</w:t>
            </w:r>
          </w:p>
        </w:tc>
        <w:tc>
          <w:tcPr>
            <w:tcW w:w="1277" w:type="dxa"/>
            <w:tcBorders>
              <w:left w:val="nil"/>
              <w:bottom w:val="single" w:sz="4" w:space="0" w:color="auto"/>
              <w:right w:val="nil"/>
            </w:tcBorders>
            <w:shd w:val="clear" w:color="auto" w:fill="F2F2F2" w:themeFill="background1" w:themeFillShade="F2"/>
            <w:vAlign w:val="center"/>
          </w:tcPr>
          <w:p w14:paraId="65482491" w14:textId="77777777" w:rsidR="002B354C" w:rsidRPr="0098602B" w:rsidRDefault="002B354C" w:rsidP="002B354C"/>
        </w:tc>
        <w:tc>
          <w:tcPr>
            <w:tcW w:w="6237" w:type="dxa"/>
            <w:tcBorders>
              <w:left w:val="nil"/>
              <w:bottom w:val="single" w:sz="4" w:space="0" w:color="auto"/>
            </w:tcBorders>
            <w:shd w:val="clear" w:color="auto" w:fill="F2F2F2" w:themeFill="background1" w:themeFillShade="F2"/>
            <w:vAlign w:val="center"/>
          </w:tcPr>
          <w:p w14:paraId="1BAFAFEF" w14:textId="77777777" w:rsidR="002B354C" w:rsidRPr="0098602B" w:rsidRDefault="002B354C">
            <w:pPr>
              <w:rPr>
                <w:bCs/>
              </w:rPr>
            </w:pPr>
          </w:p>
        </w:tc>
      </w:tr>
      <w:tr w:rsidR="0098602B" w:rsidRPr="0098602B" w14:paraId="06F3104B" w14:textId="77777777" w:rsidTr="00F3216D">
        <w:trPr>
          <w:trHeight w:val="561"/>
        </w:trPr>
        <w:tc>
          <w:tcPr>
            <w:tcW w:w="1162" w:type="dxa"/>
            <w:tcBorders>
              <w:bottom w:val="single" w:sz="4" w:space="0" w:color="auto"/>
            </w:tcBorders>
            <w:shd w:val="clear" w:color="auto" w:fill="auto"/>
            <w:vAlign w:val="center"/>
          </w:tcPr>
          <w:p w14:paraId="6E85CC2B" w14:textId="35C4BD6D" w:rsidR="002B354C" w:rsidRPr="0098602B" w:rsidRDefault="002B354C" w:rsidP="002B354C">
            <w:pPr>
              <w:jc w:val="center"/>
              <w:rPr>
                <w:bCs/>
              </w:rPr>
            </w:pPr>
            <w:r w:rsidRPr="0098602B">
              <w:rPr>
                <w:bCs/>
              </w:rPr>
              <w:t>18.8</w:t>
            </w:r>
          </w:p>
        </w:tc>
        <w:tc>
          <w:tcPr>
            <w:tcW w:w="6521" w:type="dxa"/>
            <w:tcBorders>
              <w:bottom w:val="single" w:sz="4" w:space="0" w:color="auto"/>
            </w:tcBorders>
          </w:tcPr>
          <w:p w14:paraId="37A5BBF6" w14:textId="74DC3B0A" w:rsidR="002B354C" w:rsidRPr="0098602B" w:rsidRDefault="002B354C">
            <w:pPr>
              <w:spacing w:before="120"/>
              <w:rPr>
                <w:b/>
              </w:rPr>
            </w:pPr>
            <w:r w:rsidRPr="0098602B">
              <w:rPr>
                <w:b/>
              </w:rPr>
              <w:t>Fees and charges</w:t>
            </w:r>
          </w:p>
          <w:p w14:paraId="3E324DD9" w14:textId="68BBD0F6" w:rsidR="002B354C" w:rsidRPr="0098602B" w:rsidRDefault="002B354C">
            <w:pPr>
              <w:spacing w:before="120"/>
            </w:pPr>
            <w:r w:rsidRPr="0098602B">
              <w:t>To include that Council is responsible for setting fees and charges as part of the budget setting process and that the Cabinet is responsible for agreeing the strategy for setting fees and charges and setting fees and charges for executive functions (to the extent that the budget has not set fees and charges) (Part 4.5).</w:t>
            </w:r>
          </w:p>
          <w:p w14:paraId="09388224" w14:textId="77777777" w:rsidR="002B354C" w:rsidRPr="0098602B" w:rsidRDefault="002B354C">
            <w:pPr>
              <w:spacing w:before="120"/>
            </w:pPr>
            <w:r w:rsidRPr="0098602B">
              <w:rPr>
                <w:b/>
              </w:rPr>
              <w:t xml:space="preserve">Rationale: </w:t>
            </w:r>
            <w:r w:rsidRPr="0098602B">
              <w:t>To clarify the responsibility for setting fees and charges in this part of the Constitution, as already set out in Part 4.</w:t>
            </w:r>
          </w:p>
          <w:p w14:paraId="1DF66F68" w14:textId="30C2EF92" w:rsidR="002B354C" w:rsidRPr="0098602B" w:rsidRDefault="002B354C" w:rsidP="00F23B9C">
            <w:pPr>
              <w:spacing w:before="120"/>
            </w:pPr>
          </w:p>
        </w:tc>
        <w:tc>
          <w:tcPr>
            <w:tcW w:w="1277" w:type="dxa"/>
            <w:tcBorders>
              <w:bottom w:val="single" w:sz="4" w:space="0" w:color="auto"/>
            </w:tcBorders>
            <w:shd w:val="clear" w:color="auto" w:fill="auto"/>
            <w:vAlign w:val="center"/>
          </w:tcPr>
          <w:p w14:paraId="121C9DE9" w14:textId="1B00354F" w:rsidR="002B354C" w:rsidRPr="0098602B" w:rsidRDefault="002B354C" w:rsidP="002B354C"/>
        </w:tc>
        <w:tc>
          <w:tcPr>
            <w:tcW w:w="6237" w:type="dxa"/>
            <w:tcBorders>
              <w:bottom w:val="single" w:sz="4" w:space="0" w:color="auto"/>
            </w:tcBorders>
            <w:shd w:val="clear" w:color="auto" w:fill="auto"/>
            <w:vAlign w:val="center"/>
          </w:tcPr>
          <w:p w14:paraId="6A3DC79E" w14:textId="77777777" w:rsidR="002B354C" w:rsidRPr="0098602B" w:rsidRDefault="002B354C">
            <w:pPr>
              <w:rPr>
                <w:b/>
                <w:bCs/>
              </w:rPr>
            </w:pPr>
            <w:r w:rsidRPr="0098602B">
              <w:rPr>
                <w:b/>
                <w:bCs/>
              </w:rPr>
              <w:t>Responsibility for budget decisions</w:t>
            </w:r>
          </w:p>
          <w:p w14:paraId="68DBBA41" w14:textId="557606B6" w:rsidR="002B354C" w:rsidRDefault="00AB2A54">
            <w:pPr>
              <w:rPr>
                <w:bCs/>
              </w:rPr>
            </w:pPr>
            <w:r>
              <w:rPr>
                <w:bCs/>
              </w:rPr>
              <w:t>…</w:t>
            </w:r>
          </w:p>
          <w:p w14:paraId="6BFF3C83" w14:textId="162D3007" w:rsidR="00AB2A54" w:rsidRPr="00AB2A54" w:rsidRDefault="00AB2A54">
            <w:pPr>
              <w:rPr>
                <w:bCs/>
                <w:i/>
              </w:rPr>
            </w:pPr>
            <w:r w:rsidRPr="00AB2A54">
              <w:rPr>
                <w:bCs/>
                <w:i/>
              </w:rPr>
              <w:t>(add to the table):</w:t>
            </w:r>
          </w:p>
          <w:p w14:paraId="0A422577" w14:textId="77777777" w:rsidR="00AB2A54" w:rsidRPr="0098602B" w:rsidRDefault="00AB2A54">
            <w:pPr>
              <w:rPr>
                <w:bCs/>
              </w:rPr>
            </w:pPr>
          </w:p>
          <w:p w14:paraId="7736EAA3" w14:textId="77777777" w:rsidR="002B354C" w:rsidRPr="0098602B" w:rsidRDefault="002B354C">
            <w:pPr>
              <w:rPr>
                <w:bCs/>
              </w:rPr>
            </w:pPr>
            <w:r w:rsidRPr="0098602B">
              <w:rPr>
                <w:bCs/>
              </w:rPr>
              <w:t>Executive decisions:</w:t>
            </w:r>
          </w:p>
          <w:p w14:paraId="41F99FA7" w14:textId="77777777" w:rsidR="002B354C" w:rsidRPr="0098602B" w:rsidRDefault="002B354C">
            <w:pPr>
              <w:rPr>
                <w:bCs/>
              </w:rPr>
            </w:pPr>
          </w:p>
          <w:p w14:paraId="42AA0855" w14:textId="28B83768" w:rsidR="002B354C" w:rsidRPr="0098602B" w:rsidRDefault="002B354C">
            <w:pPr>
              <w:pStyle w:val="ListParagraph"/>
              <w:numPr>
                <w:ilvl w:val="0"/>
                <w:numId w:val="23"/>
              </w:numPr>
              <w:rPr>
                <w:bCs/>
              </w:rPr>
            </w:pPr>
            <w:r w:rsidRPr="0098602B">
              <w:rPr>
                <w:rFonts w:ascii="Arial" w:hAnsi="Arial" w:cs="Arial"/>
                <w:bCs/>
                <w:sz w:val="24"/>
                <w:szCs w:val="24"/>
                <w:u w:val="single"/>
              </w:rPr>
              <w:t>Agreeing the strategy for setting fees and charges and setting fees and charges for executive functions (to the extent that the budget has not set fees and charges)</w:t>
            </w:r>
          </w:p>
          <w:p w14:paraId="1162C035" w14:textId="77777777" w:rsidR="002B354C" w:rsidRPr="0098602B" w:rsidRDefault="002B354C">
            <w:pPr>
              <w:rPr>
                <w:bCs/>
              </w:rPr>
            </w:pPr>
          </w:p>
          <w:p w14:paraId="2744DBEB" w14:textId="77777777" w:rsidR="002B354C" w:rsidRPr="0098602B" w:rsidRDefault="002B354C">
            <w:pPr>
              <w:rPr>
                <w:bCs/>
              </w:rPr>
            </w:pPr>
            <w:r w:rsidRPr="0098602B">
              <w:rPr>
                <w:bCs/>
              </w:rPr>
              <w:t>Council decisions:</w:t>
            </w:r>
          </w:p>
          <w:p w14:paraId="0A78B7A1" w14:textId="77777777" w:rsidR="002B354C" w:rsidRPr="0098602B" w:rsidRDefault="002B354C">
            <w:pPr>
              <w:rPr>
                <w:bCs/>
              </w:rPr>
            </w:pPr>
            <w:r w:rsidRPr="0098602B">
              <w:rPr>
                <w:bCs/>
              </w:rPr>
              <w:t>…</w:t>
            </w:r>
          </w:p>
          <w:p w14:paraId="0A8E344A" w14:textId="77777777" w:rsidR="002B354C" w:rsidRPr="0098602B" w:rsidRDefault="002B354C">
            <w:pPr>
              <w:pStyle w:val="ListParagraph"/>
              <w:numPr>
                <w:ilvl w:val="0"/>
                <w:numId w:val="23"/>
              </w:numPr>
              <w:rPr>
                <w:rFonts w:ascii="Arial" w:hAnsi="Arial" w:cs="Arial"/>
                <w:bCs/>
                <w:sz w:val="24"/>
                <w:szCs w:val="24"/>
              </w:rPr>
            </w:pPr>
            <w:r w:rsidRPr="0098602B">
              <w:rPr>
                <w:rFonts w:ascii="Arial" w:hAnsi="Arial" w:cs="Arial"/>
                <w:bCs/>
                <w:sz w:val="24"/>
                <w:szCs w:val="24"/>
              </w:rPr>
              <w:t xml:space="preserve">Setting fees and charges </w:t>
            </w:r>
            <w:r w:rsidRPr="0098602B">
              <w:rPr>
                <w:rFonts w:ascii="Arial" w:hAnsi="Arial" w:cs="Arial"/>
                <w:bCs/>
                <w:sz w:val="24"/>
                <w:szCs w:val="24"/>
                <w:u w:val="single"/>
              </w:rPr>
              <w:t>as part of the budget setting process</w:t>
            </w:r>
          </w:p>
          <w:p w14:paraId="6EE29ECD" w14:textId="023BB022" w:rsidR="002B354C" w:rsidRPr="0098602B" w:rsidRDefault="002B354C">
            <w:pPr>
              <w:pStyle w:val="ListParagraph"/>
              <w:rPr>
                <w:rFonts w:ascii="Arial" w:hAnsi="Arial" w:cs="Arial"/>
                <w:bCs/>
                <w:sz w:val="24"/>
                <w:szCs w:val="24"/>
              </w:rPr>
            </w:pPr>
          </w:p>
        </w:tc>
      </w:tr>
      <w:tr w:rsidR="0098602B" w:rsidRPr="0098602B" w14:paraId="12894041" w14:textId="77777777" w:rsidTr="00F3216D">
        <w:trPr>
          <w:trHeight w:val="561"/>
        </w:trPr>
        <w:tc>
          <w:tcPr>
            <w:tcW w:w="1162" w:type="dxa"/>
            <w:tcBorders>
              <w:bottom w:val="single" w:sz="4" w:space="0" w:color="auto"/>
            </w:tcBorders>
            <w:shd w:val="clear" w:color="auto" w:fill="auto"/>
            <w:vAlign w:val="center"/>
          </w:tcPr>
          <w:p w14:paraId="7AC64717" w14:textId="721B33F3" w:rsidR="00CD0D96" w:rsidRPr="0098602B" w:rsidRDefault="00CD0D96" w:rsidP="002B354C">
            <w:pPr>
              <w:jc w:val="center"/>
              <w:rPr>
                <w:bCs/>
              </w:rPr>
            </w:pPr>
            <w:r w:rsidRPr="0098602B">
              <w:rPr>
                <w:bCs/>
              </w:rPr>
              <w:t>18.12</w:t>
            </w:r>
          </w:p>
        </w:tc>
        <w:tc>
          <w:tcPr>
            <w:tcW w:w="6521" w:type="dxa"/>
            <w:tcBorders>
              <w:bottom w:val="single" w:sz="4" w:space="0" w:color="auto"/>
            </w:tcBorders>
          </w:tcPr>
          <w:p w14:paraId="16043129" w14:textId="77777777" w:rsidR="00CD0D96" w:rsidRPr="0098602B" w:rsidRDefault="00CD0D96">
            <w:pPr>
              <w:spacing w:before="120"/>
              <w:rPr>
                <w:b/>
              </w:rPr>
            </w:pPr>
            <w:r w:rsidRPr="0098602B">
              <w:rPr>
                <w:b/>
              </w:rPr>
              <w:t>Project approval</w:t>
            </w:r>
          </w:p>
          <w:p w14:paraId="0663E1DC" w14:textId="10DE4A88" w:rsidR="00CD0D96" w:rsidRPr="0098602B" w:rsidRDefault="00CD0D96" w:rsidP="00CD0D96">
            <w:pPr>
              <w:spacing w:before="120"/>
            </w:pPr>
            <w:r w:rsidRPr="0098602B">
              <w:t xml:space="preserve">To raise the financial threshold for heads of service to grant project approval from less than £150,000 to less than £185,000. </w:t>
            </w:r>
          </w:p>
          <w:p w14:paraId="0DEF0A9F" w14:textId="762AE006" w:rsidR="00CD0D96" w:rsidRPr="0098602B" w:rsidRDefault="00CD0D96" w:rsidP="00CD0D96">
            <w:pPr>
              <w:spacing w:before="120"/>
            </w:pPr>
            <w:r w:rsidRPr="0098602B">
              <w:rPr>
                <w:b/>
              </w:rPr>
              <w:t>Rationale:</w:t>
            </w:r>
            <w:r w:rsidRPr="0098602B">
              <w:t xml:space="preserve"> To align with the proposed thresholds for quotes and tenders set out in the table in Part 19. No change is proposed to the threshold for Cabinet decision of £500,000.</w:t>
            </w:r>
          </w:p>
          <w:p w14:paraId="42E92CAE" w14:textId="77777777" w:rsidR="00CD0D96" w:rsidRPr="0098602B" w:rsidRDefault="00CD0D96" w:rsidP="00CD0D96">
            <w:pPr>
              <w:spacing w:before="120"/>
            </w:pPr>
          </w:p>
          <w:p w14:paraId="23A23744" w14:textId="03012AC8" w:rsidR="00CD0D96" w:rsidRPr="0098602B" w:rsidRDefault="00CD0D96" w:rsidP="00CD0D96">
            <w:pPr>
              <w:spacing w:before="120"/>
            </w:pPr>
          </w:p>
        </w:tc>
        <w:tc>
          <w:tcPr>
            <w:tcW w:w="1277" w:type="dxa"/>
            <w:tcBorders>
              <w:bottom w:val="single" w:sz="4" w:space="0" w:color="auto"/>
            </w:tcBorders>
            <w:shd w:val="clear" w:color="auto" w:fill="auto"/>
            <w:vAlign w:val="center"/>
          </w:tcPr>
          <w:p w14:paraId="212EF390" w14:textId="77777777" w:rsidR="00CD0D96" w:rsidRPr="0098602B" w:rsidRDefault="00CD0D96" w:rsidP="002B354C"/>
        </w:tc>
        <w:tc>
          <w:tcPr>
            <w:tcW w:w="6237" w:type="dxa"/>
            <w:tcBorders>
              <w:bottom w:val="single" w:sz="4" w:space="0" w:color="auto"/>
            </w:tcBorders>
            <w:shd w:val="clear" w:color="auto" w:fill="auto"/>
            <w:vAlign w:val="center"/>
          </w:tcPr>
          <w:p w14:paraId="1C4C0B58" w14:textId="2B983470" w:rsidR="00CD0D96" w:rsidRPr="0098602B" w:rsidRDefault="00CD0D96" w:rsidP="00CD0D96">
            <w:pPr>
              <w:autoSpaceDE w:val="0"/>
              <w:autoSpaceDN w:val="0"/>
              <w:adjustRightInd w:val="0"/>
              <w:rPr>
                <w:b/>
                <w:lang w:eastAsia="en-GB"/>
              </w:rPr>
            </w:pPr>
            <w:r w:rsidRPr="0098602B">
              <w:rPr>
                <w:b/>
                <w:lang w:eastAsia="en-GB"/>
              </w:rPr>
              <w:t>Project approval</w:t>
            </w:r>
          </w:p>
          <w:p w14:paraId="70C1A318" w14:textId="77777777" w:rsidR="00CD0D96" w:rsidRPr="0098602B" w:rsidRDefault="00CD0D96" w:rsidP="00CD0D96">
            <w:pPr>
              <w:autoSpaceDE w:val="0"/>
              <w:autoSpaceDN w:val="0"/>
              <w:adjustRightInd w:val="0"/>
              <w:rPr>
                <w:lang w:eastAsia="en-GB"/>
              </w:rPr>
            </w:pPr>
          </w:p>
          <w:p w14:paraId="066996E9" w14:textId="77777777" w:rsidR="00CD0D96" w:rsidRPr="0098602B" w:rsidRDefault="00CD0D96" w:rsidP="00CD0D96">
            <w:pPr>
              <w:autoSpaceDE w:val="0"/>
              <w:autoSpaceDN w:val="0"/>
              <w:adjustRightInd w:val="0"/>
              <w:rPr>
                <w:lang w:eastAsia="en-GB"/>
              </w:rPr>
            </w:pPr>
            <w:r w:rsidRPr="0098602B">
              <w:rPr>
                <w:lang w:eastAsia="en-GB"/>
              </w:rPr>
              <w:t>Project approval must be obtained for projects in accordance with the following</w:t>
            </w:r>
          </w:p>
          <w:p w14:paraId="7556AD55" w14:textId="6695CFA6" w:rsidR="00CD0D96" w:rsidRPr="0098602B" w:rsidRDefault="00CD0D96" w:rsidP="00CD0D96">
            <w:pPr>
              <w:autoSpaceDE w:val="0"/>
              <w:autoSpaceDN w:val="0"/>
              <w:adjustRightInd w:val="0"/>
              <w:rPr>
                <w:lang w:eastAsia="en-GB"/>
              </w:rPr>
            </w:pPr>
            <w:r w:rsidRPr="0098602B">
              <w:rPr>
                <w:lang w:eastAsia="en-GB"/>
              </w:rPr>
              <w:t>requirements after presentation to the Council’s Development Board (officer group):</w:t>
            </w:r>
          </w:p>
          <w:p w14:paraId="194497F5" w14:textId="1596D97B" w:rsidR="00CD0D96" w:rsidRPr="0098602B" w:rsidRDefault="00CD0D96" w:rsidP="00CD0D96">
            <w:pPr>
              <w:autoSpaceDE w:val="0"/>
              <w:autoSpaceDN w:val="0"/>
              <w:adjustRightInd w:val="0"/>
              <w:rPr>
                <w:lang w:eastAsia="en-GB"/>
              </w:rPr>
            </w:pPr>
            <w:r w:rsidRPr="0098602B">
              <w:rPr>
                <w:rFonts w:ascii="Symbol" w:hAnsi="Symbol" w:cs="Symbol"/>
                <w:lang w:eastAsia="en-GB"/>
              </w:rPr>
              <w:t></w:t>
            </w:r>
            <w:r w:rsidRPr="0098602B">
              <w:rPr>
                <w:rFonts w:ascii="Symbol" w:hAnsi="Symbol" w:cs="Symbol"/>
                <w:lang w:eastAsia="en-GB"/>
              </w:rPr>
              <w:t></w:t>
            </w:r>
            <w:r w:rsidRPr="0098602B">
              <w:rPr>
                <w:lang w:eastAsia="en-GB"/>
              </w:rPr>
              <w:t>Less than £</w:t>
            </w:r>
            <w:r w:rsidRPr="0098602B">
              <w:rPr>
                <w:strike/>
                <w:lang w:eastAsia="en-GB"/>
              </w:rPr>
              <w:t>150</w:t>
            </w:r>
            <w:r w:rsidRPr="0098602B">
              <w:rPr>
                <w:u w:val="single"/>
                <w:lang w:eastAsia="en-GB"/>
              </w:rPr>
              <w:t>185</w:t>
            </w:r>
            <w:r w:rsidRPr="0098602B">
              <w:rPr>
                <w:lang w:eastAsia="en-GB"/>
              </w:rPr>
              <w:t>,000 – Head of Service or Executive Director</w:t>
            </w:r>
          </w:p>
          <w:p w14:paraId="449010E2" w14:textId="07BBFC1F" w:rsidR="00CD0D96" w:rsidRPr="0098602B" w:rsidRDefault="00CD0D96" w:rsidP="00CD0D96">
            <w:pPr>
              <w:autoSpaceDE w:val="0"/>
              <w:autoSpaceDN w:val="0"/>
              <w:adjustRightInd w:val="0"/>
              <w:rPr>
                <w:lang w:eastAsia="en-GB"/>
              </w:rPr>
            </w:pPr>
            <w:r w:rsidRPr="0098602B">
              <w:rPr>
                <w:rFonts w:ascii="Symbol" w:hAnsi="Symbol" w:cs="Symbol"/>
                <w:lang w:eastAsia="en-GB"/>
              </w:rPr>
              <w:t></w:t>
            </w:r>
            <w:r w:rsidRPr="0098602B">
              <w:rPr>
                <w:rFonts w:ascii="Symbol" w:hAnsi="Symbol" w:cs="Symbol"/>
                <w:lang w:eastAsia="en-GB"/>
              </w:rPr>
              <w:t></w:t>
            </w:r>
            <w:r w:rsidRPr="0098602B">
              <w:rPr>
                <w:lang w:eastAsia="en-GB"/>
              </w:rPr>
              <w:t>£</w:t>
            </w:r>
            <w:r w:rsidRPr="0098602B">
              <w:rPr>
                <w:strike/>
                <w:lang w:eastAsia="en-GB"/>
              </w:rPr>
              <w:t>150</w:t>
            </w:r>
            <w:r w:rsidRPr="0098602B">
              <w:rPr>
                <w:u w:val="single"/>
                <w:lang w:eastAsia="en-GB"/>
              </w:rPr>
              <w:t>185</w:t>
            </w:r>
            <w:r w:rsidRPr="0098602B">
              <w:rPr>
                <w:lang w:eastAsia="en-GB"/>
              </w:rPr>
              <w:t xml:space="preserve">,000 up to £500,000 – Executive Director or Head of Financial Services in consultation with the Head of Paid </w:t>
            </w:r>
            <w:r w:rsidRPr="0098602B">
              <w:rPr>
                <w:lang w:eastAsia="en-GB"/>
              </w:rPr>
              <w:lastRenderedPageBreak/>
              <w:t>Service and Monitoring Officer (and the Head of Financial Services where the decision to approve is being made by an Executive Director)</w:t>
            </w:r>
          </w:p>
          <w:p w14:paraId="21429635" w14:textId="65E48ED5" w:rsidR="00CD0D96" w:rsidRPr="0098602B" w:rsidRDefault="00CD0D96" w:rsidP="00CD0D96">
            <w:pPr>
              <w:rPr>
                <w:b/>
                <w:bCs/>
              </w:rPr>
            </w:pPr>
            <w:r w:rsidRPr="0098602B">
              <w:rPr>
                <w:rFonts w:ascii="Symbol" w:hAnsi="Symbol" w:cs="Symbol"/>
                <w:lang w:eastAsia="en-GB"/>
              </w:rPr>
              <w:t></w:t>
            </w:r>
            <w:r w:rsidRPr="0098602B">
              <w:rPr>
                <w:rFonts w:ascii="Symbol" w:hAnsi="Symbol" w:cs="Symbol"/>
                <w:lang w:eastAsia="en-GB"/>
              </w:rPr>
              <w:t></w:t>
            </w:r>
            <w:r w:rsidRPr="0098602B">
              <w:rPr>
                <w:lang w:eastAsia="en-GB"/>
              </w:rPr>
              <w:t>£500,000 and over – Cabinet</w:t>
            </w:r>
          </w:p>
        </w:tc>
      </w:tr>
      <w:tr w:rsidR="0098602B" w:rsidRPr="0098602B" w14:paraId="46601E75" w14:textId="77777777" w:rsidTr="00F3216D">
        <w:trPr>
          <w:trHeight w:val="561"/>
        </w:trPr>
        <w:tc>
          <w:tcPr>
            <w:tcW w:w="1162" w:type="dxa"/>
            <w:shd w:val="clear" w:color="auto" w:fill="F2F2F2"/>
            <w:vAlign w:val="center"/>
          </w:tcPr>
          <w:p w14:paraId="66A94AE9" w14:textId="4EB464F5" w:rsidR="002B354C" w:rsidRPr="0098602B" w:rsidRDefault="002B354C" w:rsidP="002B354C">
            <w:pPr>
              <w:jc w:val="center"/>
              <w:rPr>
                <w:b/>
                <w:sz w:val="23"/>
                <w:szCs w:val="23"/>
              </w:rPr>
            </w:pPr>
            <w:r w:rsidRPr="0098602B">
              <w:rPr>
                <w:b/>
                <w:sz w:val="23"/>
                <w:szCs w:val="23"/>
              </w:rPr>
              <w:lastRenderedPageBreak/>
              <w:t>Part 19</w:t>
            </w:r>
          </w:p>
        </w:tc>
        <w:tc>
          <w:tcPr>
            <w:tcW w:w="6521" w:type="dxa"/>
            <w:tcBorders>
              <w:right w:val="nil"/>
            </w:tcBorders>
            <w:shd w:val="clear" w:color="auto" w:fill="F2F2F2"/>
          </w:tcPr>
          <w:p w14:paraId="07ABA763" w14:textId="0E6BB310" w:rsidR="002B354C" w:rsidRPr="0098602B" w:rsidRDefault="002B354C">
            <w:pPr>
              <w:spacing w:before="120"/>
              <w:rPr>
                <w:b/>
              </w:rPr>
            </w:pPr>
            <w:r w:rsidRPr="0098602B">
              <w:rPr>
                <w:b/>
              </w:rPr>
              <w:t>Contract rules</w:t>
            </w:r>
          </w:p>
        </w:tc>
        <w:tc>
          <w:tcPr>
            <w:tcW w:w="1277" w:type="dxa"/>
            <w:tcBorders>
              <w:left w:val="nil"/>
              <w:right w:val="nil"/>
            </w:tcBorders>
            <w:shd w:val="clear" w:color="auto" w:fill="F2F2F2"/>
            <w:vAlign w:val="center"/>
          </w:tcPr>
          <w:p w14:paraId="5F41332A" w14:textId="77777777" w:rsidR="002B354C" w:rsidRPr="0098602B" w:rsidRDefault="002B354C" w:rsidP="002B354C"/>
        </w:tc>
        <w:tc>
          <w:tcPr>
            <w:tcW w:w="6237" w:type="dxa"/>
            <w:tcBorders>
              <w:left w:val="nil"/>
            </w:tcBorders>
            <w:shd w:val="clear" w:color="auto" w:fill="F2F2F2"/>
            <w:vAlign w:val="center"/>
          </w:tcPr>
          <w:p w14:paraId="6354C6EB" w14:textId="77777777" w:rsidR="002B354C" w:rsidRPr="0098602B" w:rsidRDefault="002B354C"/>
        </w:tc>
      </w:tr>
      <w:tr w:rsidR="0098602B" w:rsidRPr="0098602B" w14:paraId="3BF30819" w14:textId="77777777" w:rsidTr="00F3216D">
        <w:trPr>
          <w:trHeight w:val="561"/>
        </w:trPr>
        <w:tc>
          <w:tcPr>
            <w:tcW w:w="1162" w:type="dxa"/>
            <w:shd w:val="clear" w:color="auto" w:fill="auto"/>
            <w:vAlign w:val="center"/>
          </w:tcPr>
          <w:p w14:paraId="707D365C" w14:textId="67CF1E79" w:rsidR="002B354C" w:rsidRPr="0098602B" w:rsidRDefault="00B87EAD" w:rsidP="002B354C">
            <w:pPr>
              <w:jc w:val="center"/>
              <w:rPr>
                <w:sz w:val="23"/>
                <w:szCs w:val="23"/>
              </w:rPr>
            </w:pPr>
            <w:r w:rsidRPr="0098602B">
              <w:rPr>
                <w:sz w:val="23"/>
                <w:szCs w:val="23"/>
              </w:rPr>
              <w:t>19.12</w:t>
            </w:r>
          </w:p>
        </w:tc>
        <w:tc>
          <w:tcPr>
            <w:tcW w:w="6521" w:type="dxa"/>
            <w:tcBorders>
              <w:bottom w:val="single" w:sz="4" w:space="0" w:color="auto"/>
            </w:tcBorders>
          </w:tcPr>
          <w:p w14:paraId="3BB10FAD" w14:textId="77777777" w:rsidR="002B354C" w:rsidRPr="0098602B" w:rsidRDefault="000451F5">
            <w:pPr>
              <w:spacing w:before="120"/>
              <w:rPr>
                <w:b/>
              </w:rPr>
            </w:pPr>
            <w:r w:rsidRPr="0098602B">
              <w:rPr>
                <w:b/>
              </w:rPr>
              <w:t>Thresholds for quotes and tenders</w:t>
            </w:r>
          </w:p>
          <w:p w14:paraId="1226F466" w14:textId="7AE1CEEB" w:rsidR="00A56593" w:rsidRPr="0098602B" w:rsidRDefault="000451F5" w:rsidP="00AC1EA2">
            <w:pPr>
              <w:spacing w:before="120"/>
            </w:pPr>
            <w:r w:rsidRPr="0098602B">
              <w:t xml:space="preserve">To align the rules on </w:t>
            </w:r>
            <w:r w:rsidR="00B15996" w:rsidRPr="0098602B">
              <w:t>seeking q</w:t>
            </w:r>
            <w:r w:rsidRPr="0098602B">
              <w:t xml:space="preserve">uotes and tenders </w:t>
            </w:r>
            <w:r w:rsidR="00131110" w:rsidRPr="0098602B">
              <w:t xml:space="preserve">approximately </w:t>
            </w:r>
            <w:r w:rsidRPr="0098602B">
              <w:t>with th</w:t>
            </w:r>
            <w:r w:rsidR="00B15996" w:rsidRPr="0098602B">
              <w:t>e Find a Tender (FTS) threshold</w:t>
            </w:r>
            <w:r w:rsidRPr="0098602B">
              <w:t xml:space="preserve"> </w:t>
            </w:r>
            <w:r w:rsidR="00131110" w:rsidRPr="0098602B">
              <w:t xml:space="preserve">(£189,330) </w:t>
            </w:r>
            <w:r w:rsidR="00B15996" w:rsidRPr="0098602B">
              <w:t>instead of the Official Journal of the European Union (OJEU) threshold and to make other changes to the rules on quotes and tenders recommended by the Strategic Procurement Manager.</w:t>
            </w:r>
          </w:p>
        </w:tc>
        <w:tc>
          <w:tcPr>
            <w:tcW w:w="1277" w:type="dxa"/>
            <w:tcBorders>
              <w:bottom w:val="single" w:sz="4" w:space="0" w:color="auto"/>
            </w:tcBorders>
            <w:shd w:val="clear" w:color="auto" w:fill="auto"/>
            <w:vAlign w:val="center"/>
          </w:tcPr>
          <w:p w14:paraId="7B7AB1E9" w14:textId="77777777" w:rsidR="002B354C" w:rsidRPr="0098602B" w:rsidRDefault="002B354C" w:rsidP="002B354C">
            <w:pPr>
              <w:spacing w:before="120"/>
            </w:pPr>
          </w:p>
        </w:tc>
        <w:tc>
          <w:tcPr>
            <w:tcW w:w="6237" w:type="dxa"/>
            <w:tcBorders>
              <w:bottom w:val="single" w:sz="4" w:space="0" w:color="auto"/>
            </w:tcBorders>
            <w:shd w:val="clear" w:color="auto" w:fill="auto"/>
            <w:vAlign w:val="center"/>
          </w:tcPr>
          <w:p w14:paraId="037BB59D" w14:textId="64D55877" w:rsidR="002B354C" w:rsidRPr="0098602B" w:rsidRDefault="00B87EAD" w:rsidP="0030348A">
            <w:pPr>
              <w:spacing w:before="120"/>
              <w:ind w:left="720"/>
            </w:pPr>
            <w:r w:rsidRPr="0098602B">
              <w:t>See</w:t>
            </w:r>
            <w:r w:rsidR="0030348A" w:rsidRPr="0098602B">
              <w:t xml:space="preserve"> </w:t>
            </w:r>
            <w:r w:rsidRPr="0098602B">
              <w:t>table below</w:t>
            </w:r>
          </w:p>
        </w:tc>
      </w:tr>
      <w:tr w:rsidR="0098602B" w:rsidRPr="0098602B" w14:paraId="39C7707C" w14:textId="77777777" w:rsidTr="00B87EAD">
        <w:trPr>
          <w:trHeight w:val="561"/>
        </w:trPr>
        <w:tc>
          <w:tcPr>
            <w:tcW w:w="15197" w:type="dxa"/>
            <w:gridSpan w:val="4"/>
            <w:shd w:val="clear" w:color="auto" w:fill="auto"/>
            <w:vAlign w:val="center"/>
          </w:tcPr>
          <w:p w14:paraId="0C6AA174" w14:textId="12B331D3" w:rsidR="00DA640F" w:rsidRPr="0098602B" w:rsidRDefault="00DA640F">
            <w:pPr>
              <w:spacing w:before="120"/>
              <w:ind w:left="720"/>
            </w:pPr>
          </w:p>
          <w:p w14:paraId="0FD0F415" w14:textId="06816E9F" w:rsidR="00B87EAD" w:rsidRPr="0098602B" w:rsidRDefault="00B87EAD">
            <w:pPr>
              <w:spacing w:before="120"/>
              <w:ind w:left="720"/>
              <w:rPr>
                <w:b/>
              </w:rPr>
            </w:pPr>
            <w:r w:rsidRPr="0098602B">
              <w:rPr>
                <w:b/>
              </w:rPr>
              <w:t>19.12 Thresholds for quotes and tenders</w:t>
            </w:r>
          </w:p>
          <w:p w14:paraId="5A58E111" w14:textId="5E0A2296" w:rsidR="00B87EAD" w:rsidRPr="0098602B" w:rsidRDefault="00B87EAD">
            <w:pPr>
              <w:spacing w:before="120"/>
              <w:ind w:left="720"/>
            </w:pPr>
            <w:r w:rsidRPr="0098602B">
              <w:t>…</w:t>
            </w:r>
          </w:p>
          <w:tbl>
            <w:tblPr>
              <w:tblStyle w:val="TableGrid"/>
              <w:tblW w:w="14034" w:type="dxa"/>
              <w:tblInd w:w="483" w:type="dxa"/>
              <w:tblLayout w:type="fixed"/>
              <w:tblLook w:val="04A0" w:firstRow="1" w:lastRow="0" w:firstColumn="1" w:lastColumn="0" w:noHBand="0" w:noVBand="1"/>
            </w:tblPr>
            <w:tblGrid>
              <w:gridCol w:w="2694"/>
              <w:gridCol w:w="3543"/>
              <w:gridCol w:w="4536"/>
              <w:gridCol w:w="3261"/>
            </w:tblGrid>
            <w:tr w:rsidR="0098602B" w:rsidRPr="0098602B" w14:paraId="57A1C54A" w14:textId="77777777" w:rsidTr="00B87EAD">
              <w:tc>
                <w:tcPr>
                  <w:tcW w:w="2694" w:type="dxa"/>
                </w:tcPr>
                <w:p w14:paraId="29A63667" w14:textId="77777777" w:rsidR="00B87EAD" w:rsidRPr="0098602B" w:rsidRDefault="00B87EAD" w:rsidP="00B87EAD">
                  <w:pPr>
                    <w:spacing w:before="120"/>
                  </w:pPr>
                  <w:r w:rsidRPr="0098602B">
                    <w:rPr>
                      <w:b/>
                    </w:rPr>
                    <w:t>Total value of contract</w:t>
                  </w:r>
                </w:p>
              </w:tc>
              <w:tc>
                <w:tcPr>
                  <w:tcW w:w="3543" w:type="dxa"/>
                </w:tcPr>
                <w:p w14:paraId="6881D19A" w14:textId="77777777" w:rsidR="00B87EAD" w:rsidRPr="0098602B" w:rsidRDefault="00B87EAD" w:rsidP="00B87EAD">
                  <w:pPr>
                    <w:spacing w:before="120"/>
                  </w:pPr>
                  <w:r w:rsidRPr="0098602B">
                    <w:rPr>
                      <w:b/>
                    </w:rPr>
                    <w:t>Quotes or tendering</w:t>
                  </w:r>
                </w:p>
              </w:tc>
              <w:tc>
                <w:tcPr>
                  <w:tcW w:w="4536" w:type="dxa"/>
                </w:tcPr>
                <w:p w14:paraId="5752E606" w14:textId="77777777" w:rsidR="00B87EAD" w:rsidRPr="0098602B" w:rsidRDefault="00B87EAD" w:rsidP="00B87EAD">
                  <w:pPr>
                    <w:spacing w:before="120"/>
                  </w:pPr>
                  <w:r w:rsidRPr="0098602B">
                    <w:rPr>
                      <w:b/>
                    </w:rPr>
                    <w:t>Advertisement required?</w:t>
                  </w:r>
                </w:p>
              </w:tc>
              <w:tc>
                <w:tcPr>
                  <w:tcW w:w="3261" w:type="dxa"/>
                </w:tcPr>
                <w:p w14:paraId="224F4F4B" w14:textId="77777777" w:rsidR="00B87EAD" w:rsidRPr="0098602B" w:rsidRDefault="00B87EAD" w:rsidP="00B87EAD">
                  <w:pPr>
                    <w:spacing w:before="120"/>
                  </w:pPr>
                  <w:r w:rsidRPr="0098602B">
                    <w:rPr>
                      <w:b/>
                    </w:rPr>
                    <w:t>Process led by</w:t>
                  </w:r>
                </w:p>
              </w:tc>
            </w:tr>
            <w:tr w:rsidR="0098602B" w:rsidRPr="0098602B" w14:paraId="1435E341" w14:textId="77777777" w:rsidTr="00B87EAD">
              <w:tc>
                <w:tcPr>
                  <w:tcW w:w="2694" w:type="dxa"/>
                  <w:tcBorders>
                    <w:bottom w:val="nil"/>
                  </w:tcBorders>
                </w:tcPr>
                <w:p w14:paraId="741A87F0" w14:textId="77777777" w:rsidR="00B87EAD" w:rsidRPr="0098602B" w:rsidRDefault="00B87EAD" w:rsidP="00B87EAD">
                  <w:pPr>
                    <w:spacing w:before="120"/>
                  </w:pPr>
                  <w:r w:rsidRPr="0098602B">
                    <w:t>&gt;£</w:t>
                  </w:r>
                  <w:r w:rsidRPr="0098602B">
                    <w:rPr>
                      <w:strike/>
                    </w:rPr>
                    <w:t>1,00</w:t>
                  </w:r>
                  <w:r w:rsidRPr="0098602B">
                    <w:t>0 &lt;£10,000</w:t>
                  </w:r>
                </w:p>
              </w:tc>
              <w:tc>
                <w:tcPr>
                  <w:tcW w:w="3543" w:type="dxa"/>
                  <w:tcBorders>
                    <w:bottom w:val="nil"/>
                  </w:tcBorders>
                </w:tcPr>
                <w:p w14:paraId="38DDFD25" w14:textId="1F1880EE" w:rsidR="00B87EAD" w:rsidRPr="0098602B" w:rsidRDefault="00B87EAD" w:rsidP="00B87EAD">
                  <w:pPr>
                    <w:spacing w:before="120"/>
                  </w:pPr>
                  <w:r w:rsidRPr="0098602B">
                    <w:rPr>
                      <w:strike/>
                    </w:rPr>
                    <w:t>Obtain at least</w:t>
                  </w:r>
                  <w:r w:rsidR="000451F5" w:rsidRPr="0098602B">
                    <w:rPr>
                      <w:strike/>
                    </w:rPr>
                    <w:t xml:space="preserve"> </w:t>
                  </w:r>
                  <w:r w:rsidRPr="0098602B">
                    <w:rPr>
                      <w:u w:val="single"/>
                    </w:rPr>
                    <w:t>Minimum</w:t>
                  </w:r>
                  <w:r w:rsidRPr="0098602B">
                    <w:t xml:space="preserve"> one quote</w:t>
                  </w:r>
                  <w:r w:rsidR="006973AC" w:rsidRPr="0098602B">
                    <w:t xml:space="preserve"> in writing</w:t>
                  </w:r>
                  <w:r w:rsidRPr="0098602B">
                    <w:t xml:space="preserve">, </w:t>
                  </w:r>
                  <w:r w:rsidRPr="0098602B">
                    <w:rPr>
                      <w:u w:val="single"/>
                    </w:rPr>
                    <w:t>(local</w:t>
                  </w:r>
                  <w:r w:rsidR="003117F8" w:rsidRPr="0098602B">
                    <w:rPr>
                      <w:u w:val="single"/>
                    </w:rPr>
                    <w:t>*</w:t>
                  </w:r>
                  <w:r w:rsidRPr="0098602B">
                    <w:rPr>
                      <w:u w:val="single"/>
                    </w:rPr>
                    <w:t xml:space="preserve"> if possible) alternatively</w:t>
                  </w:r>
                  <w:r w:rsidR="00C35B00" w:rsidRPr="0098602B">
                    <w:rPr>
                      <w:u w:val="single"/>
                    </w:rPr>
                    <w:t xml:space="preserve"> an approved Framework may be used</w:t>
                  </w:r>
                  <w:r w:rsidRPr="0098602B">
                    <w:rPr>
                      <w:u w:val="single"/>
                    </w:rPr>
                    <w:t xml:space="preserve"> </w:t>
                  </w:r>
                  <w:r w:rsidRPr="0098602B">
                    <w:rPr>
                      <w:strike/>
                    </w:rPr>
                    <w:t>attempt to seek at least one from a local</w:t>
                  </w:r>
                  <w:r w:rsidRPr="0098602B">
                    <w:t xml:space="preserve"> </w:t>
                  </w:r>
                  <w:r w:rsidRPr="0098602B">
                    <w:rPr>
                      <w:strike/>
                    </w:rPr>
                    <w:t>supplier</w:t>
                  </w:r>
                </w:p>
              </w:tc>
              <w:tc>
                <w:tcPr>
                  <w:tcW w:w="4536" w:type="dxa"/>
                  <w:tcBorders>
                    <w:bottom w:val="nil"/>
                  </w:tcBorders>
                </w:tcPr>
                <w:p w14:paraId="37455121" w14:textId="77777777" w:rsidR="00B87EAD" w:rsidRPr="0098602B" w:rsidRDefault="00B87EAD" w:rsidP="00B87EAD">
                  <w:pPr>
                    <w:spacing w:before="120"/>
                  </w:pPr>
                  <w:r w:rsidRPr="0098602B">
                    <w:t>No</w:t>
                  </w:r>
                </w:p>
              </w:tc>
              <w:tc>
                <w:tcPr>
                  <w:tcW w:w="3261" w:type="dxa"/>
                  <w:tcBorders>
                    <w:bottom w:val="nil"/>
                  </w:tcBorders>
                </w:tcPr>
                <w:p w14:paraId="79462CE9" w14:textId="77777777" w:rsidR="00B87EAD" w:rsidRPr="0098602B" w:rsidRDefault="00B87EAD" w:rsidP="00B87EAD">
                  <w:pPr>
                    <w:spacing w:before="120"/>
                  </w:pPr>
                  <w:r w:rsidRPr="0098602B">
                    <w:t>Officer authorised by the relevant Head of Service</w:t>
                  </w:r>
                </w:p>
              </w:tc>
            </w:tr>
            <w:tr w:rsidR="0098602B" w:rsidRPr="0098602B" w14:paraId="067EBF57" w14:textId="77777777" w:rsidTr="00B87EAD">
              <w:tc>
                <w:tcPr>
                  <w:tcW w:w="2694" w:type="dxa"/>
                </w:tcPr>
                <w:p w14:paraId="725BEAC9" w14:textId="77777777" w:rsidR="00B87EAD" w:rsidRPr="0098602B" w:rsidRDefault="00B87EAD" w:rsidP="00B87EAD">
                  <w:pPr>
                    <w:spacing w:before="120"/>
                  </w:pPr>
                  <w:r w:rsidRPr="0098602B">
                    <w:t>&gt;=£10,000</w:t>
                  </w:r>
                </w:p>
                <w:p w14:paraId="4B4B075F" w14:textId="646A4660" w:rsidR="00B87EAD" w:rsidRPr="0098602B" w:rsidRDefault="00B87EAD" w:rsidP="00B87EAD">
                  <w:pPr>
                    <w:spacing w:before="120"/>
                  </w:pPr>
                  <w:r w:rsidRPr="0098602B">
                    <w:t>&lt;=£</w:t>
                  </w:r>
                  <w:r w:rsidRPr="0098602B">
                    <w:rPr>
                      <w:strike/>
                    </w:rPr>
                    <w:t>100</w:t>
                  </w:r>
                  <w:r w:rsidRPr="0098602B">
                    <w:rPr>
                      <w:u w:val="single"/>
                    </w:rPr>
                    <w:t>25</w:t>
                  </w:r>
                  <w:r w:rsidRPr="0098602B">
                    <w:t>,000</w:t>
                  </w:r>
                </w:p>
              </w:tc>
              <w:tc>
                <w:tcPr>
                  <w:tcW w:w="3543" w:type="dxa"/>
                </w:tcPr>
                <w:p w14:paraId="1866A626" w14:textId="5585FD8B" w:rsidR="00B87EAD" w:rsidRPr="0098602B" w:rsidRDefault="00B87EAD" w:rsidP="00B87EAD">
                  <w:pPr>
                    <w:spacing w:before="120"/>
                    <w:rPr>
                      <w:u w:val="single"/>
                    </w:rPr>
                  </w:pPr>
                  <w:r w:rsidRPr="0098602B">
                    <w:t xml:space="preserve">Obtain </w:t>
                  </w:r>
                  <w:r w:rsidR="00C35B00" w:rsidRPr="0098602B">
                    <w:rPr>
                      <w:u w:val="single"/>
                    </w:rPr>
                    <w:t>up to</w:t>
                  </w:r>
                  <w:r w:rsidR="008303CD">
                    <w:rPr>
                      <w:u w:val="single"/>
                    </w:rPr>
                    <w:t xml:space="preserve"> </w:t>
                  </w:r>
                  <w:r w:rsidRPr="0098602B">
                    <w:rPr>
                      <w:strike/>
                    </w:rPr>
                    <w:t>at least</w:t>
                  </w:r>
                  <w:r w:rsidRPr="0098602B">
                    <w:t xml:space="preserve"> three </w:t>
                  </w:r>
                  <w:r w:rsidR="00C35B00" w:rsidRPr="0098602B">
                    <w:rPr>
                      <w:u w:val="single"/>
                    </w:rPr>
                    <w:t xml:space="preserve">written </w:t>
                  </w:r>
                  <w:r w:rsidRPr="0098602B">
                    <w:t>quotes</w:t>
                  </w:r>
                  <w:r w:rsidR="00C35B00" w:rsidRPr="0098602B">
                    <w:t xml:space="preserve"> </w:t>
                  </w:r>
                  <w:r w:rsidR="00C35B00" w:rsidRPr="0098602B">
                    <w:rPr>
                      <w:u w:val="single"/>
                    </w:rPr>
                    <w:t>(minimum two)</w:t>
                  </w:r>
                  <w:r w:rsidRPr="0098602B">
                    <w:t>, attempt to seek at least one from a local</w:t>
                  </w:r>
                  <w:r w:rsidR="003117F8" w:rsidRPr="0098602B">
                    <w:rPr>
                      <w:u w:val="single"/>
                    </w:rPr>
                    <w:t>*</w:t>
                  </w:r>
                  <w:r w:rsidRPr="0098602B">
                    <w:t xml:space="preserve"> supplier</w:t>
                  </w:r>
                  <w:r w:rsidR="00C35B00" w:rsidRPr="0098602B">
                    <w:t xml:space="preserve"> </w:t>
                  </w:r>
                  <w:r w:rsidR="00C35B00" w:rsidRPr="0098602B">
                    <w:rPr>
                      <w:u w:val="single"/>
                    </w:rPr>
                    <w:t>alternatively an approved Framework may be used</w:t>
                  </w:r>
                </w:p>
              </w:tc>
              <w:tc>
                <w:tcPr>
                  <w:tcW w:w="4536" w:type="dxa"/>
                </w:tcPr>
                <w:p w14:paraId="3500C317" w14:textId="616262BC" w:rsidR="00B87EAD" w:rsidRPr="0098602B" w:rsidRDefault="00B87EAD" w:rsidP="00B87EAD">
                  <w:pPr>
                    <w:spacing w:before="120"/>
                  </w:pPr>
                  <w:r w:rsidRPr="0098602B">
                    <w:t xml:space="preserve">Advertising should be considered and any contract over £25,000 </w:t>
                  </w:r>
                  <w:r w:rsidR="00C35B00" w:rsidRPr="0098602B">
                    <w:rPr>
                      <w:u w:val="single"/>
                    </w:rPr>
                    <w:t xml:space="preserve">must be placed </w:t>
                  </w:r>
                  <w:r w:rsidRPr="0098602B">
                    <w:t>on contracts finder in any event</w:t>
                  </w:r>
                </w:p>
              </w:tc>
              <w:tc>
                <w:tcPr>
                  <w:tcW w:w="3261" w:type="dxa"/>
                </w:tcPr>
                <w:p w14:paraId="7949278A" w14:textId="77777777" w:rsidR="00B87EAD" w:rsidRPr="0098602B" w:rsidRDefault="00B87EAD" w:rsidP="00B87EAD">
                  <w:pPr>
                    <w:spacing w:before="120"/>
                  </w:pPr>
                  <w:r w:rsidRPr="0098602B">
                    <w:t>Officer authorised by the relevant Head of Service</w:t>
                  </w:r>
                </w:p>
              </w:tc>
            </w:tr>
            <w:tr w:rsidR="0098602B" w:rsidRPr="0098602B" w14:paraId="69A015F0" w14:textId="77777777" w:rsidTr="00B87EAD">
              <w:tc>
                <w:tcPr>
                  <w:tcW w:w="2694" w:type="dxa"/>
                </w:tcPr>
                <w:p w14:paraId="477F16CA" w14:textId="53CD3EF7" w:rsidR="00B87EAD" w:rsidRPr="0098602B" w:rsidRDefault="00B87EAD" w:rsidP="00B87EAD">
                  <w:pPr>
                    <w:spacing w:before="120"/>
                  </w:pPr>
                  <w:r w:rsidRPr="0098602B">
                    <w:t>&gt;£</w:t>
                  </w:r>
                  <w:r w:rsidRPr="0098602B">
                    <w:rPr>
                      <w:strike/>
                    </w:rPr>
                    <w:t>100</w:t>
                  </w:r>
                  <w:r w:rsidRPr="0098602B">
                    <w:rPr>
                      <w:u w:val="single"/>
                    </w:rPr>
                    <w:t>25</w:t>
                  </w:r>
                  <w:r w:rsidRPr="0098602B">
                    <w:t>,000</w:t>
                  </w:r>
                </w:p>
                <w:p w14:paraId="719A2756" w14:textId="593BA88C" w:rsidR="00B87EAD" w:rsidRPr="0098602B" w:rsidRDefault="00B87EAD" w:rsidP="00B87EAD">
                  <w:pPr>
                    <w:spacing w:before="120"/>
                  </w:pPr>
                  <w:r w:rsidRPr="0098602B">
                    <w:t>&lt;=£</w:t>
                  </w:r>
                  <w:r w:rsidRPr="0098602B">
                    <w:rPr>
                      <w:strike/>
                    </w:rPr>
                    <w:t>150</w:t>
                  </w:r>
                  <w:r w:rsidRPr="0098602B">
                    <w:rPr>
                      <w:u w:val="single"/>
                    </w:rPr>
                    <w:t>100</w:t>
                  </w:r>
                  <w:r w:rsidRPr="0098602B">
                    <w:t>,000</w:t>
                  </w:r>
                </w:p>
              </w:tc>
              <w:tc>
                <w:tcPr>
                  <w:tcW w:w="3543" w:type="dxa"/>
                </w:tcPr>
                <w:p w14:paraId="41E3F3EC" w14:textId="4F5F308C" w:rsidR="00B87EAD" w:rsidRPr="0098602B" w:rsidRDefault="00B87EAD" w:rsidP="00B87EAD">
                  <w:pPr>
                    <w:spacing w:before="120"/>
                  </w:pPr>
                  <w:r w:rsidRPr="0098602B">
                    <w:t>Obtain</w:t>
                  </w:r>
                  <w:r w:rsidR="00C35B00" w:rsidRPr="0098602B">
                    <w:t xml:space="preserve"> </w:t>
                  </w:r>
                  <w:r w:rsidR="00C35B00" w:rsidRPr="0098602B">
                    <w:rPr>
                      <w:u w:val="single"/>
                    </w:rPr>
                    <w:t>up to</w:t>
                  </w:r>
                  <w:r w:rsidRPr="0098602B">
                    <w:t xml:space="preserve"> </w:t>
                  </w:r>
                  <w:r w:rsidRPr="0098602B">
                    <w:rPr>
                      <w:strike/>
                    </w:rPr>
                    <w:t>at least</w:t>
                  </w:r>
                  <w:r w:rsidRPr="0098602B">
                    <w:t xml:space="preserve"> four </w:t>
                  </w:r>
                  <w:r w:rsidR="00C35B00" w:rsidRPr="0098602B">
                    <w:rPr>
                      <w:u w:val="single"/>
                    </w:rPr>
                    <w:t xml:space="preserve">written </w:t>
                  </w:r>
                  <w:r w:rsidRPr="0098602B">
                    <w:t>quotes</w:t>
                  </w:r>
                  <w:r w:rsidR="00C35B00" w:rsidRPr="0098602B">
                    <w:t xml:space="preserve"> </w:t>
                  </w:r>
                  <w:r w:rsidR="00C35B00" w:rsidRPr="0098602B">
                    <w:rPr>
                      <w:u w:val="single"/>
                    </w:rPr>
                    <w:t>(minimum three)</w:t>
                  </w:r>
                  <w:r w:rsidRPr="0098602B">
                    <w:t xml:space="preserve">, </w:t>
                  </w:r>
                  <w:r w:rsidR="00C35B00" w:rsidRPr="0098602B">
                    <w:rPr>
                      <w:u w:val="single"/>
                    </w:rPr>
                    <w:t xml:space="preserve">Attempt to seek </w:t>
                  </w:r>
                  <w:r w:rsidRPr="0098602B">
                    <w:t xml:space="preserve">at least one </w:t>
                  </w:r>
                  <w:r w:rsidRPr="0098602B">
                    <w:rPr>
                      <w:strike/>
                    </w:rPr>
                    <w:t>of which must be</w:t>
                  </w:r>
                  <w:r w:rsidRPr="0098602B">
                    <w:t xml:space="preserve"> from a local</w:t>
                  </w:r>
                  <w:r w:rsidR="003117F8" w:rsidRPr="0098602B">
                    <w:rPr>
                      <w:u w:val="single"/>
                    </w:rPr>
                    <w:t>*</w:t>
                  </w:r>
                  <w:r w:rsidRPr="0098602B">
                    <w:t xml:space="preserve"> supplier. </w:t>
                  </w:r>
                  <w:r w:rsidR="00C35B00" w:rsidRPr="0098602B">
                    <w:rPr>
                      <w:u w:val="single"/>
                    </w:rPr>
                    <w:t xml:space="preserve">Alternatively an approved Framework may be </w:t>
                  </w:r>
                  <w:proofErr w:type="spellStart"/>
                  <w:r w:rsidR="00C35B00" w:rsidRPr="0098602B">
                    <w:rPr>
                      <w:u w:val="single"/>
                    </w:rPr>
                    <w:t>used</w:t>
                  </w:r>
                  <w:r w:rsidRPr="0098602B">
                    <w:rPr>
                      <w:strike/>
                    </w:rPr>
                    <w:t>An</w:t>
                  </w:r>
                  <w:proofErr w:type="spellEnd"/>
                  <w:r w:rsidRPr="0098602B">
                    <w:rPr>
                      <w:strike/>
                    </w:rPr>
                    <w:t xml:space="preserve"> open tender process may be used instead where it is deemed appropriate</w:t>
                  </w:r>
                </w:p>
              </w:tc>
              <w:tc>
                <w:tcPr>
                  <w:tcW w:w="4536" w:type="dxa"/>
                </w:tcPr>
                <w:p w14:paraId="61116AF1" w14:textId="77777777" w:rsidR="00B87EAD" w:rsidRPr="0098602B" w:rsidRDefault="00B87EAD" w:rsidP="00B87EAD">
                  <w:pPr>
                    <w:spacing w:before="120"/>
                  </w:pPr>
                  <w:r w:rsidRPr="0098602B">
                    <w:t>Yes, advertised on the corporate system and on contracts finder</w:t>
                  </w:r>
                </w:p>
              </w:tc>
              <w:tc>
                <w:tcPr>
                  <w:tcW w:w="3261" w:type="dxa"/>
                </w:tcPr>
                <w:p w14:paraId="744080F4" w14:textId="77777777" w:rsidR="00B87EAD" w:rsidRPr="0098602B" w:rsidRDefault="00B87EAD" w:rsidP="00B87EAD">
                  <w:pPr>
                    <w:spacing w:before="120"/>
                  </w:pPr>
                  <w:r w:rsidRPr="0098602B">
                    <w:t>Authorised Procurement Practitioner or Procurement Team</w:t>
                  </w:r>
                </w:p>
              </w:tc>
            </w:tr>
            <w:tr w:rsidR="0098602B" w:rsidRPr="0098602B" w14:paraId="297FE360" w14:textId="77777777" w:rsidTr="00B87EAD">
              <w:tc>
                <w:tcPr>
                  <w:tcW w:w="2694" w:type="dxa"/>
                </w:tcPr>
                <w:p w14:paraId="1E1D5CF3" w14:textId="5B8887CF" w:rsidR="00B87EAD" w:rsidRPr="0098602B" w:rsidRDefault="00B87EAD" w:rsidP="00131110">
                  <w:pPr>
                    <w:spacing w:before="120"/>
                    <w:rPr>
                      <w:u w:val="single"/>
                    </w:rPr>
                  </w:pPr>
                  <w:r w:rsidRPr="0098602B">
                    <w:rPr>
                      <w:u w:val="single"/>
                    </w:rPr>
                    <w:t xml:space="preserve">&gt;£100,000 </w:t>
                  </w:r>
                  <w:r w:rsidR="002A52E2" w:rsidRPr="0098602B">
                    <w:rPr>
                      <w:u w:val="single"/>
                    </w:rPr>
                    <w:t xml:space="preserve">&lt; </w:t>
                  </w:r>
                  <w:r w:rsidRPr="0098602B">
                    <w:rPr>
                      <w:u w:val="single"/>
                    </w:rPr>
                    <w:t>£</w:t>
                  </w:r>
                  <w:r w:rsidR="002A52E2" w:rsidRPr="0098602B">
                    <w:rPr>
                      <w:u w:val="single"/>
                    </w:rPr>
                    <w:t>185</w:t>
                  </w:r>
                  <w:r w:rsidR="00131110" w:rsidRPr="0098602B">
                    <w:rPr>
                      <w:u w:val="single"/>
                    </w:rPr>
                    <w:t>,000</w:t>
                  </w:r>
                </w:p>
              </w:tc>
              <w:tc>
                <w:tcPr>
                  <w:tcW w:w="3543" w:type="dxa"/>
                </w:tcPr>
                <w:p w14:paraId="67838F4C" w14:textId="47A66AE6" w:rsidR="00B87EAD" w:rsidRPr="0098602B" w:rsidRDefault="00C35B00" w:rsidP="00B87EAD">
                  <w:pPr>
                    <w:spacing w:before="120"/>
                    <w:rPr>
                      <w:u w:val="single"/>
                    </w:rPr>
                  </w:pPr>
                  <w:r w:rsidRPr="0098602B">
                    <w:rPr>
                      <w:u w:val="single"/>
                    </w:rPr>
                    <w:t>Obtain up to six quotes (minimum four). Attempt to seek at least one from a local</w:t>
                  </w:r>
                  <w:r w:rsidR="003117F8" w:rsidRPr="0098602B">
                    <w:rPr>
                      <w:u w:val="single"/>
                    </w:rPr>
                    <w:t>*</w:t>
                  </w:r>
                  <w:r w:rsidRPr="0098602B">
                    <w:rPr>
                      <w:u w:val="single"/>
                    </w:rPr>
                    <w:t xml:space="preserve"> supplier. Alternatively an approved Framework may be used.</w:t>
                  </w:r>
                </w:p>
              </w:tc>
              <w:tc>
                <w:tcPr>
                  <w:tcW w:w="4536" w:type="dxa"/>
                </w:tcPr>
                <w:p w14:paraId="3D1D3937" w14:textId="57EF439A" w:rsidR="00B87EAD" w:rsidRPr="0098602B" w:rsidRDefault="00C35B00" w:rsidP="00B87EAD">
                  <w:pPr>
                    <w:spacing w:before="120"/>
                    <w:rPr>
                      <w:u w:val="single"/>
                    </w:rPr>
                  </w:pPr>
                  <w:r w:rsidRPr="0098602B">
                    <w:rPr>
                      <w:u w:val="single"/>
                    </w:rPr>
                    <w:t>Yes, advertised on the corporate system and on contracts finder</w:t>
                  </w:r>
                </w:p>
              </w:tc>
              <w:tc>
                <w:tcPr>
                  <w:tcW w:w="3261" w:type="dxa"/>
                </w:tcPr>
                <w:p w14:paraId="2528CE52" w14:textId="5D22A6DE" w:rsidR="00B87EAD" w:rsidRPr="0098602B" w:rsidRDefault="00C35B00" w:rsidP="00B87EAD">
                  <w:pPr>
                    <w:spacing w:before="120"/>
                    <w:rPr>
                      <w:u w:val="single"/>
                    </w:rPr>
                  </w:pPr>
                  <w:r w:rsidRPr="0098602B">
                    <w:rPr>
                      <w:u w:val="single"/>
                    </w:rPr>
                    <w:t>Authorised Procurement Practitioner or Procurement Team</w:t>
                  </w:r>
                </w:p>
              </w:tc>
            </w:tr>
            <w:tr w:rsidR="0098602B" w:rsidRPr="0098602B" w14:paraId="3F84C9FB" w14:textId="77777777" w:rsidTr="00B87EAD">
              <w:tc>
                <w:tcPr>
                  <w:tcW w:w="2694" w:type="dxa"/>
                </w:tcPr>
                <w:p w14:paraId="3D76776C" w14:textId="35A288ED" w:rsidR="00B87EAD" w:rsidRPr="0098602B" w:rsidRDefault="00B87EAD" w:rsidP="00131110">
                  <w:pPr>
                    <w:spacing w:before="120"/>
                    <w:rPr>
                      <w:u w:val="single"/>
                    </w:rPr>
                  </w:pPr>
                  <w:r w:rsidRPr="0098602B">
                    <w:lastRenderedPageBreak/>
                    <w:t>&gt;</w:t>
                  </w:r>
                  <w:r w:rsidRPr="0098602B">
                    <w:rPr>
                      <w:strike/>
                    </w:rPr>
                    <w:t xml:space="preserve">£150,000 </w:t>
                  </w:r>
                  <w:r w:rsidRPr="0098602B">
                    <w:rPr>
                      <w:u w:val="single"/>
                    </w:rPr>
                    <w:t>£1</w:t>
                  </w:r>
                  <w:r w:rsidR="002A52E2" w:rsidRPr="0098602B">
                    <w:rPr>
                      <w:u w:val="single"/>
                    </w:rPr>
                    <w:t>85</w:t>
                  </w:r>
                  <w:r w:rsidR="00131110" w:rsidRPr="0098602B">
                    <w:rPr>
                      <w:u w:val="single"/>
                    </w:rPr>
                    <w:t>,000</w:t>
                  </w:r>
                </w:p>
              </w:tc>
              <w:tc>
                <w:tcPr>
                  <w:tcW w:w="3543" w:type="dxa"/>
                </w:tcPr>
                <w:p w14:paraId="3936E297" w14:textId="77777777" w:rsidR="0030348A" w:rsidRPr="0098602B" w:rsidRDefault="0030348A" w:rsidP="0030348A">
                  <w:pPr>
                    <w:spacing w:before="120"/>
                    <w:rPr>
                      <w:u w:val="single"/>
                    </w:rPr>
                  </w:pPr>
                  <w:r w:rsidRPr="0098602B">
                    <w:rPr>
                      <w:u w:val="single"/>
                    </w:rPr>
                    <w:t xml:space="preserve">Invite tenders (procurement law and guidance must be followed for contracts over the FTS thresholds) – process conducted by Procurement Team </w:t>
                  </w:r>
                </w:p>
                <w:p w14:paraId="04D03EE8" w14:textId="7BAC49AA" w:rsidR="00B87EAD" w:rsidRPr="0098602B" w:rsidRDefault="00B87EAD" w:rsidP="0030348A">
                  <w:pPr>
                    <w:spacing w:before="120"/>
                    <w:rPr>
                      <w:strike/>
                    </w:rPr>
                  </w:pPr>
                  <w:r w:rsidRPr="0098602B">
                    <w:rPr>
                      <w:strike/>
                    </w:rPr>
                    <w:t>Invite tenders (EU procurement law and guidance must be followed for contracts over EU thresholds) – process conducted by Procurement Team</w:t>
                  </w:r>
                </w:p>
              </w:tc>
              <w:tc>
                <w:tcPr>
                  <w:tcW w:w="4536" w:type="dxa"/>
                </w:tcPr>
                <w:p w14:paraId="7AB6A406" w14:textId="77777777" w:rsidR="0030348A" w:rsidRPr="0098602B" w:rsidRDefault="0030348A" w:rsidP="00B87EAD">
                  <w:pPr>
                    <w:spacing w:before="120"/>
                    <w:rPr>
                      <w:u w:val="single"/>
                    </w:rPr>
                  </w:pPr>
                  <w:r w:rsidRPr="0098602B">
                    <w:rPr>
                      <w:u w:val="single"/>
                    </w:rPr>
                    <w:t xml:space="preserve">The corporate system </w:t>
                  </w:r>
                </w:p>
                <w:p w14:paraId="440A077F" w14:textId="5B1BBF03" w:rsidR="00B87EAD" w:rsidRPr="0098602B" w:rsidRDefault="00B87EAD" w:rsidP="00B87EAD">
                  <w:pPr>
                    <w:spacing w:before="120"/>
                    <w:rPr>
                      <w:strike/>
                    </w:rPr>
                  </w:pPr>
                  <w:r w:rsidRPr="0098602B">
                    <w:rPr>
                      <w:strike/>
                    </w:rPr>
                    <w:t>Yes</w:t>
                  </w:r>
                </w:p>
              </w:tc>
              <w:tc>
                <w:tcPr>
                  <w:tcW w:w="3261" w:type="dxa"/>
                </w:tcPr>
                <w:p w14:paraId="4FCE7C56" w14:textId="77777777" w:rsidR="00B87EAD" w:rsidRPr="0098602B" w:rsidRDefault="00B87EAD" w:rsidP="00B87EAD">
                  <w:pPr>
                    <w:spacing w:before="120"/>
                  </w:pPr>
                  <w:r w:rsidRPr="0098602B">
                    <w:t>Procurement Team</w:t>
                  </w:r>
                </w:p>
              </w:tc>
            </w:tr>
          </w:tbl>
          <w:p w14:paraId="71C08487" w14:textId="690228C0" w:rsidR="00DA640F" w:rsidRDefault="003117F8">
            <w:pPr>
              <w:spacing w:before="120"/>
              <w:ind w:left="720"/>
              <w:rPr>
                <w:u w:val="single"/>
              </w:rPr>
            </w:pPr>
            <w:r w:rsidRPr="0098602B">
              <w:rPr>
                <w:u w:val="single"/>
              </w:rPr>
              <w:t>*</w:t>
            </w:r>
            <w:r w:rsidR="00B20586" w:rsidRPr="0098602B">
              <w:rPr>
                <w:u w:val="single"/>
              </w:rPr>
              <w:t>suppliers that have an</w:t>
            </w:r>
            <w:r w:rsidRPr="0098602B">
              <w:rPr>
                <w:u w:val="single"/>
              </w:rPr>
              <w:t xml:space="preserve"> OX postcode</w:t>
            </w:r>
          </w:p>
          <w:p w14:paraId="3183E2C3" w14:textId="77777777" w:rsidR="00601E68" w:rsidRDefault="00601E68">
            <w:pPr>
              <w:spacing w:before="120"/>
              <w:ind w:left="720"/>
              <w:rPr>
                <w:u w:val="single"/>
              </w:rPr>
            </w:pPr>
          </w:p>
          <w:p w14:paraId="107D138E" w14:textId="77777777" w:rsidR="00601E68" w:rsidRPr="0098602B" w:rsidRDefault="00601E68">
            <w:pPr>
              <w:spacing w:before="120"/>
              <w:ind w:left="720"/>
              <w:rPr>
                <w:u w:val="single"/>
              </w:rPr>
            </w:pPr>
            <w:bookmarkStart w:id="0" w:name="_GoBack"/>
            <w:bookmarkEnd w:id="0"/>
          </w:p>
          <w:p w14:paraId="51D37F4C" w14:textId="77777777" w:rsidR="00DA640F" w:rsidRPr="0098602B" w:rsidRDefault="00DA640F">
            <w:pPr>
              <w:spacing w:before="120"/>
              <w:ind w:left="720"/>
            </w:pPr>
          </w:p>
        </w:tc>
      </w:tr>
      <w:tr w:rsidR="0098602B" w:rsidRPr="0098602B" w14:paraId="38B8CEBC" w14:textId="77777777" w:rsidTr="00F3216D">
        <w:trPr>
          <w:trHeight w:val="561"/>
        </w:trPr>
        <w:tc>
          <w:tcPr>
            <w:tcW w:w="1162" w:type="dxa"/>
            <w:shd w:val="clear" w:color="auto" w:fill="F2F2F2"/>
            <w:vAlign w:val="center"/>
          </w:tcPr>
          <w:p w14:paraId="364BAAA0" w14:textId="5F1FFA8C" w:rsidR="002B354C" w:rsidRPr="0098602B" w:rsidRDefault="002B354C" w:rsidP="002B354C">
            <w:pPr>
              <w:jc w:val="center"/>
              <w:rPr>
                <w:b/>
                <w:sz w:val="23"/>
                <w:szCs w:val="23"/>
              </w:rPr>
            </w:pPr>
            <w:r w:rsidRPr="0098602B">
              <w:rPr>
                <w:b/>
                <w:sz w:val="23"/>
                <w:szCs w:val="23"/>
              </w:rPr>
              <w:lastRenderedPageBreak/>
              <w:t>Part 21</w:t>
            </w:r>
          </w:p>
        </w:tc>
        <w:tc>
          <w:tcPr>
            <w:tcW w:w="6521" w:type="dxa"/>
            <w:tcBorders>
              <w:right w:val="nil"/>
            </w:tcBorders>
            <w:shd w:val="clear" w:color="auto" w:fill="F2F2F2"/>
          </w:tcPr>
          <w:p w14:paraId="0FDD833C" w14:textId="77777777" w:rsidR="002B354C" w:rsidRPr="0098602B" w:rsidRDefault="002B354C">
            <w:pPr>
              <w:spacing w:before="120"/>
              <w:rPr>
                <w:b/>
              </w:rPr>
            </w:pPr>
            <w:r w:rsidRPr="0098602B">
              <w:rPr>
                <w:b/>
              </w:rPr>
              <w:t>Legal Rules</w:t>
            </w:r>
          </w:p>
        </w:tc>
        <w:tc>
          <w:tcPr>
            <w:tcW w:w="1277" w:type="dxa"/>
            <w:tcBorders>
              <w:left w:val="nil"/>
              <w:right w:val="nil"/>
            </w:tcBorders>
            <w:shd w:val="clear" w:color="auto" w:fill="F2F2F2"/>
            <w:vAlign w:val="center"/>
          </w:tcPr>
          <w:p w14:paraId="400056BC" w14:textId="77777777" w:rsidR="002B354C" w:rsidRPr="0098602B" w:rsidRDefault="002B354C" w:rsidP="002B354C"/>
        </w:tc>
        <w:tc>
          <w:tcPr>
            <w:tcW w:w="6237" w:type="dxa"/>
            <w:tcBorders>
              <w:left w:val="nil"/>
            </w:tcBorders>
            <w:shd w:val="clear" w:color="auto" w:fill="F2F2F2"/>
            <w:vAlign w:val="center"/>
          </w:tcPr>
          <w:p w14:paraId="680C3E24" w14:textId="77777777" w:rsidR="002B354C" w:rsidRPr="0098602B" w:rsidRDefault="002B354C"/>
        </w:tc>
      </w:tr>
      <w:tr w:rsidR="0098602B" w:rsidRPr="0098602B" w14:paraId="7B25AC06" w14:textId="77777777" w:rsidTr="00F3216D">
        <w:trPr>
          <w:trHeight w:val="561"/>
        </w:trPr>
        <w:tc>
          <w:tcPr>
            <w:tcW w:w="1162" w:type="dxa"/>
            <w:shd w:val="clear" w:color="auto" w:fill="auto"/>
            <w:vAlign w:val="center"/>
          </w:tcPr>
          <w:p w14:paraId="24DFCC1A" w14:textId="77777777" w:rsidR="002B354C" w:rsidRPr="0098602B" w:rsidRDefault="002B354C" w:rsidP="002B354C">
            <w:pPr>
              <w:jc w:val="center"/>
              <w:rPr>
                <w:sz w:val="23"/>
                <w:szCs w:val="23"/>
              </w:rPr>
            </w:pPr>
            <w:r w:rsidRPr="0098602B">
              <w:rPr>
                <w:sz w:val="23"/>
                <w:szCs w:val="23"/>
              </w:rPr>
              <w:t>21.1</w:t>
            </w:r>
          </w:p>
        </w:tc>
        <w:tc>
          <w:tcPr>
            <w:tcW w:w="6521" w:type="dxa"/>
            <w:tcBorders>
              <w:bottom w:val="single" w:sz="4" w:space="0" w:color="auto"/>
            </w:tcBorders>
          </w:tcPr>
          <w:p w14:paraId="6FF8C533" w14:textId="052D56C5" w:rsidR="002B354C" w:rsidRPr="0098602B" w:rsidRDefault="002B354C">
            <w:pPr>
              <w:spacing w:before="120"/>
              <w:rPr>
                <w:b/>
              </w:rPr>
            </w:pPr>
            <w:r w:rsidRPr="0098602B">
              <w:rPr>
                <w:b/>
              </w:rPr>
              <w:t>Legal action by the Council</w:t>
            </w:r>
          </w:p>
          <w:p w14:paraId="38A5D810" w14:textId="632F7758" w:rsidR="002B354C" w:rsidRPr="0098602B" w:rsidRDefault="002B354C">
            <w:pPr>
              <w:spacing w:before="120"/>
            </w:pPr>
            <w:r w:rsidRPr="0098602B">
              <w:t>To amend the legal powers delegated to the Head of Law and Governance.</w:t>
            </w:r>
          </w:p>
          <w:p w14:paraId="4D5EB6C0" w14:textId="6B26C7CB" w:rsidR="002B354C" w:rsidRPr="0098602B" w:rsidRDefault="002B354C">
            <w:pPr>
              <w:spacing w:before="120"/>
            </w:pPr>
            <w:r w:rsidRPr="0098602B">
              <w:rPr>
                <w:b/>
              </w:rPr>
              <w:t>Rationale</w:t>
            </w:r>
            <w:r w:rsidRPr="0098602B">
              <w:t>: To provide clarity and to properly reflect the powers required by the Head of Law and Governance.</w:t>
            </w:r>
          </w:p>
          <w:p w14:paraId="4595D4E4" w14:textId="77777777" w:rsidR="002B354C" w:rsidRPr="0098602B" w:rsidRDefault="002B354C" w:rsidP="00667C33">
            <w:pPr>
              <w:spacing w:before="120"/>
            </w:pPr>
          </w:p>
        </w:tc>
        <w:tc>
          <w:tcPr>
            <w:tcW w:w="1277" w:type="dxa"/>
            <w:tcBorders>
              <w:bottom w:val="single" w:sz="4" w:space="0" w:color="auto"/>
            </w:tcBorders>
            <w:shd w:val="clear" w:color="auto" w:fill="auto"/>
            <w:vAlign w:val="center"/>
          </w:tcPr>
          <w:p w14:paraId="2015134F" w14:textId="77777777" w:rsidR="002B354C" w:rsidRPr="0098602B" w:rsidRDefault="002B354C" w:rsidP="002B354C">
            <w:pPr>
              <w:spacing w:before="120"/>
            </w:pPr>
          </w:p>
        </w:tc>
        <w:tc>
          <w:tcPr>
            <w:tcW w:w="6237" w:type="dxa"/>
            <w:tcBorders>
              <w:bottom w:val="single" w:sz="4" w:space="0" w:color="auto"/>
            </w:tcBorders>
            <w:shd w:val="clear" w:color="auto" w:fill="auto"/>
            <w:vAlign w:val="center"/>
          </w:tcPr>
          <w:p w14:paraId="6392876D" w14:textId="77777777" w:rsidR="002B354C" w:rsidRPr="0098602B" w:rsidRDefault="002B354C">
            <w:pPr>
              <w:spacing w:before="120"/>
              <w:rPr>
                <w:rFonts w:eastAsia="Times New Roman"/>
                <w:u w:val="single"/>
              </w:rPr>
            </w:pPr>
            <w:r w:rsidRPr="0098602B">
              <w:rPr>
                <w:rFonts w:eastAsia="Times New Roman"/>
              </w:rPr>
              <w:t xml:space="preserve">The Head of Law and Governance can take any legal action necessary to carry out the Council’s decisions or protect its interests. </w:t>
            </w:r>
            <w:r w:rsidRPr="0098602B">
              <w:rPr>
                <w:rFonts w:eastAsia="Times New Roman"/>
                <w:u w:val="single"/>
              </w:rPr>
              <w:t>This will include:-</w:t>
            </w:r>
          </w:p>
          <w:p w14:paraId="0762569D" w14:textId="77777777" w:rsidR="002B354C" w:rsidRPr="0098602B" w:rsidRDefault="002B354C">
            <w:pPr>
              <w:numPr>
                <w:ilvl w:val="0"/>
                <w:numId w:val="9"/>
              </w:numPr>
              <w:spacing w:before="120"/>
              <w:rPr>
                <w:rFonts w:eastAsia="Times New Roman"/>
                <w:u w:val="single"/>
              </w:rPr>
            </w:pPr>
            <w:r w:rsidRPr="0098602B">
              <w:rPr>
                <w:rFonts w:eastAsia="Times New Roman"/>
                <w:u w:val="single"/>
              </w:rPr>
              <w:t>to prosecute, defend, make application, serve any notice or appear on behalf of the Council in any court, tribunal or hearing on any criminal, civil or other matter (including appeals);</w:t>
            </w:r>
          </w:p>
          <w:p w14:paraId="62A17BBB" w14:textId="77777777" w:rsidR="002B354C" w:rsidRPr="0098602B" w:rsidRDefault="002B354C">
            <w:pPr>
              <w:numPr>
                <w:ilvl w:val="0"/>
                <w:numId w:val="9"/>
              </w:numPr>
              <w:spacing w:before="120"/>
              <w:rPr>
                <w:rFonts w:eastAsia="Times New Roman"/>
                <w:u w:val="single"/>
              </w:rPr>
            </w:pPr>
            <w:r w:rsidRPr="0098602B">
              <w:rPr>
                <w:rFonts w:eastAsia="Times New Roman"/>
                <w:u w:val="single"/>
              </w:rPr>
              <w:t>to institute legal proceedings under any local byelaws or orders within the Council’s area; and</w:t>
            </w:r>
          </w:p>
          <w:p w14:paraId="4C56F7F4" w14:textId="77777777" w:rsidR="002B354C" w:rsidRPr="0098602B" w:rsidRDefault="002B354C">
            <w:pPr>
              <w:numPr>
                <w:ilvl w:val="0"/>
                <w:numId w:val="21"/>
              </w:numPr>
              <w:spacing w:before="120"/>
            </w:pPr>
            <w:proofErr w:type="gramStart"/>
            <w:r w:rsidRPr="0098602B">
              <w:rPr>
                <w:rFonts w:eastAsia="Times New Roman"/>
                <w:u w:val="single"/>
              </w:rPr>
              <w:t>to</w:t>
            </w:r>
            <w:proofErr w:type="gramEnd"/>
            <w:r w:rsidRPr="0098602B">
              <w:rPr>
                <w:rFonts w:eastAsia="Times New Roman"/>
                <w:u w:val="single"/>
              </w:rPr>
              <w:t xml:space="preserve"> lodge objections to any proposal affecting the Council’s interests.”</w:t>
            </w:r>
          </w:p>
          <w:p w14:paraId="6814A5B3" w14:textId="4E15465B" w:rsidR="004D4870" w:rsidRPr="0098602B" w:rsidRDefault="004D4870" w:rsidP="00667C33">
            <w:pPr>
              <w:spacing w:before="120"/>
              <w:ind w:left="360"/>
            </w:pPr>
          </w:p>
        </w:tc>
      </w:tr>
      <w:tr w:rsidR="0098602B" w:rsidRPr="0098602B" w14:paraId="2ADD91FA" w14:textId="77777777" w:rsidTr="00F3216D">
        <w:trPr>
          <w:trHeight w:val="561"/>
        </w:trPr>
        <w:tc>
          <w:tcPr>
            <w:tcW w:w="1162" w:type="dxa"/>
            <w:shd w:val="clear" w:color="auto" w:fill="F2F2F2" w:themeFill="background1" w:themeFillShade="F2"/>
            <w:vAlign w:val="center"/>
          </w:tcPr>
          <w:p w14:paraId="0E9AE719" w14:textId="633CAF27" w:rsidR="002B354C" w:rsidRPr="0098602B" w:rsidRDefault="002B354C" w:rsidP="002B354C">
            <w:pPr>
              <w:jc w:val="center"/>
              <w:rPr>
                <w:b/>
                <w:sz w:val="23"/>
                <w:szCs w:val="23"/>
              </w:rPr>
            </w:pPr>
            <w:r w:rsidRPr="0098602B">
              <w:rPr>
                <w:b/>
                <w:sz w:val="23"/>
                <w:szCs w:val="23"/>
              </w:rPr>
              <w:t>Part 22</w:t>
            </w:r>
          </w:p>
        </w:tc>
        <w:tc>
          <w:tcPr>
            <w:tcW w:w="6521" w:type="dxa"/>
            <w:tcBorders>
              <w:right w:val="nil"/>
            </w:tcBorders>
            <w:shd w:val="clear" w:color="auto" w:fill="F2F2F2" w:themeFill="background1" w:themeFillShade="F2"/>
          </w:tcPr>
          <w:p w14:paraId="67A06D4A" w14:textId="7FC3EB8C" w:rsidR="002B354C" w:rsidRPr="0098602B" w:rsidRDefault="002B354C">
            <w:pPr>
              <w:spacing w:before="120"/>
              <w:rPr>
                <w:b/>
              </w:rPr>
            </w:pPr>
            <w:r w:rsidRPr="0098602B">
              <w:rPr>
                <w:b/>
              </w:rPr>
              <w:t>Members’ Code of Conduct</w:t>
            </w:r>
          </w:p>
        </w:tc>
        <w:tc>
          <w:tcPr>
            <w:tcW w:w="1277" w:type="dxa"/>
            <w:tcBorders>
              <w:left w:val="nil"/>
              <w:right w:val="nil"/>
            </w:tcBorders>
            <w:shd w:val="clear" w:color="auto" w:fill="F2F2F2" w:themeFill="background1" w:themeFillShade="F2"/>
            <w:vAlign w:val="center"/>
          </w:tcPr>
          <w:p w14:paraId="108DAD77" w14:textId="77777777" w:rsidR="002B354C" w:rsidRPr="0098602B" w:rsidRDefault="002B354C" w:rsidP="002B354C">
            <w:pPr>
              <w:spacing w:before="120"/>
            </w:pPr>
          </w:p>
        </w:tc>
        <w:tc>
          <w:tcPr>
            <w:tcW w:w="6237" w:type="dxa"/>
            <w:tcBorders>
              <w:left w:val="nil"/>
            </w:tcBorders>
            <w:shd w:val="clear" w:color="auto" w:fill="F2F2F2" w:themeFill="background1" w:themeFillShade="F2"/>
            <w:vAlign w:val="center"/>
          </w:tcPr>
          <w:p w14:paraId="26447231" w14:textId="77777777" w:rsidR="002B354C" w:rsidRPr="0098602B" w:rsidRDefault="002B354C">
            <w:pPr>
              <w:spacing w:before="120"/>
              <w:rPr>
                <w:rFonts w:eastAsia="Times New Roman"/>
              </w:rPr>
            </w:pPr>
          </w:p>
        </w:tc>
      </w:tr>
      <w:tr w:rsidR="0098602B" w:rsidRPr="0098602B" w14:paraId="5FC9A9AA" w14:textId="77777777" w:rsidTr="00F3216D">
        <w:trPr>
          <w:trHeight w:val="561"/>
        </w:trPr>
        <w:tc>
          <w:tcPr>
            <w:tcW w:w="1162" w:type="dxa"/>
            <w:shd w:val="clear" w:color="auto" w:fill="auto"/>
            <w:vAlign w:val="center"/>
          </w:tcPr>
          <w:p w14:paraId="41A6E2EA" w14:textId="5229BEEF" w:rsidR="002B354C" w:rsidRPr="0098602B" w:rsidRDefault="002B354C" w:rsidP="002B354C">
            <w:pPr>
              <w:jc w:val="center"/>
              <w:rPr>
                <w:b/>
                <w:sz w:val="23"/>
                <w:szCs w:val="23"/>
              </w:rPr>
            </w:pPr>
            <w:r w:rsidRPr="0098602B">
              <w:rPr>
                <w:b/>
                <w:sz w:val="23"/>
                <w:szCs w:val="23"/>
              </w:rPr>
              <w:t>22.5(e)</w:t>
            </w:r>
          </w:p>
        </w:tc>
        <w:tc>
          <w:tcPr>
            <w:tcW w:w="6521" w:type="dxa"/>
          </w:tcPr>
          <w:p w14:paraId="376688E0" w14:textId="1F598E19" w:rsidR="002B354C" w:rsidRPr="0098602B" w:rsidRDefault="002B354C">
            <w:pPr>
              <w:spacing w:after="160" w:line="259" w:lineRule="auto"/>
              <w:rPr>
                <w:b/>
              </w:rPr>
            </w:pPr>
            <w:r w:rsidRPr="0098602B">
              <w:rPr>
                <w:b/>
              </w:rPr>
              <w:t>Individual dispensations</w:t>
            </w:r>
          </w:p>
          <w:p w14:paraId="268EBD2E" w14:textId="7FD3B5F7" w:rsidR="002B354C" w:rsidRPr="0098602B" w:rsidRDefault="002B354C">
            <w:pPr>
              <w:spacing w:after="160" w:line="259" w:lineRule="auto"/>
            </w:pPr>
            <w:r w:rsidRPr="0098602B">
              <w:t>Include details of the general dispensations previously granted by Council at its meeting on 1/10/18 to last for a period of 4 years.</w:t>
            </w:r>
          </w:p>
          <w:p w14:paraId="0953A51E" w14:textId="3AB7E147" w:rsidR="002B354C" w:rsidRPr="0098602B" w:rsidRDefault="002B354C">
            <w:pPr>
              <w:spacing w:before="120"/>
            </w:pPr>
            <w:r w:rsidRPr="0098602B">
              <w:rPr>
                <w:b/>
              </w:rPr>
              <w:t>Rationale:</w:t>
            </w:r>
            <w:r w:rsidRPr="0098602B">
              <w:t xml:space="preserve"> It is proposed that this existing delegation to the Monitoring Officer to grant dispensations to individual Members is included in the Constitution for visibility and ease of reference. Dispensations allow Members to take part in a meeting or decision from which they would otherwise be precluded due to having a disclosable pecuniary interest. The wording of the delegation was agreed by Council on 1 October 2018 on the recommendation of the Standards Committee. </w:t>
            </w:r>
          </w:p>
          <w:p w14:paraId="3A5BFE1B" w14:textId="7A155795" w:rsidR="002B354C" w:rsidRPr="0098602B" w:rsidRDefault="002B354C">
            <w:pPr>
              <w:spacing w:before="120"/>
            </w:pPr>
          </w:p>
        </w:tc>
        <w:tc>
          <w:tcPr>
            <w:tcW w:w="1277" w:type="dxa"/>
            <w:shd w:val="clear" w:color="auto" w:fill="auto"/>
            <w:vAlign w:val="center"/>
          </w:tcPr>
          <w:p w14:paraId="76301624" w14:textId="1D0C29D9" w:rsidR="002B354C" w:rsidRPr="0098602B" w:rsidRDefault="002B354C" w:rsidP="002B354C">
            <w:pPr>
              <w:spacing w:before="120"/>
            </w:pPr>
          </w:p>
        </w:tc>
        <w:tc>
          <w:tcPr>
            <w:tcW w:w="6237" w:type="dxa"/>
            <w:shd w:val="clear" w:color="auto" w:fill="auto"/>
            <w:vAlign w:val="center"/>
          </w:tcPr>
          <w:p w14:paraId="24D7E2D9" w14:textId="160BDCC3" w:rsidR="002B354C" w:rsidRPr="0098602B" w:rsidRDefault="002B354C">
            <w:pPr>
              <w:spacing w:before="120"/>
              <w:rPr>
                <w:rFonts w:eastAsia="Times New Roman"/>
              </w:rPr>
            </w:pPr>
            <w:r w:rsidRPr="0098602B">
              <w:rPr>
                <w:rFonts w:eastAsia="Times New Roman"/>
                <w:u w:val="single"/>
              </w:rPr>
              <w:t>Under section 33 of the Localism Act 2011 the following dispensations were granted for four years on 1 October 2018:</w:t>
            </w:r>
            <w:r w:rsidRPr="0098602B">
              <w:rPr>
                <w:rFonts w:eastAsia="Times New Roman"/>
              </w:rPr>
              <w:t xml:space="preserve"> </w:t>
            </w:r>
          </w:p>
          <w:p w14:paraId="261587B2" w14:textId="31360224" w:rsidR="002B354C" w:rsidRPr="0098602B" w:rsidRDefault="002B354C">
            <w:pPr>
              <w:pStyle w:val="ListParagraph"/>
              <w:numPr>
                <w:ilvl w:val="0"/>
                <w:numId w:val="33"/>
              </w:numPr>
              <w:spacing w:before="120"/>
              <w:ind w:left="202" w:hanging="202"/>
              <w:rPr>
                <w:rFonts w:ascii="Arial" w:eastAsia="Times New Roman" w:hAnsi="Arial" w:cs="Arial"/>
                <w:sz w:val="24"/>
                <w:szCs w:val="24"/>
                <w:u w:val="single"/>
              </w:rPr>
            </w:pPr>
            <w:r w:rsidRPr="0098602B">
              <w:rPr>
                <w:rFonts w:ascii="Arial" w:eastAsia="Times New Roman" w:hAnsi="Arial" w:cs="Arial"/>
                <w:sz w:val="24"/>
                <w:szCs w:val="24"/>
                <w:u w:val="single"/>
              </w:rPr>
              <w:t>Determining an allowance (including special responsibility allowances), travelling expense, payment or indemnity given to Members</w:t>
            </w:r>
          </w:p>
          <w:p w14:paraId="00AB76BD" w14:textId="6E40E54E" w:rsidR="002B354C" w:rsidRPr="0098602B" w:rsidRDefault="002B354C">
            <w:pPr>
              <w:pStyle w:val="ListParagraph"/>
              <w:numPr>
                <w:ilvl w:val="0"/>
                <w:numId w:val="33"/>
              </w:numPr>
              <w:spacing w:before="120"/>
              <w:ind w:left="202" w:hanging="202"/>
              <w:rPr>
                <w:rFonts w:ascii="Arial" w:eastAsia="Times New Roman" w:hAnsi="Arial" w:cs="Arial"/>
                <w:sz w:val="24"/>
                <w:szCs w:val="24"/>
                <w:u w:val="single"/>
              </w:rPr>
            </w:pPr>
            <w:r w:rsidRPr="0098602B">
              <w:rPr>
                <w:rFonts w:ascii="Arial" w:eastAsia="Times New Roman" w:hAnsi="Arial" w:cs="Arial"/>
                <w:sz w:val="24"/>
                <w:szCs w:val="24"/>
                <w:u w:val="single"/>
              </w:rPr>
              <w:t>Housing: where the Member (or spouse or partner) holds a tenancy or lease with the Council as long as the matter does not relate to the particular tenancy or lease of the Member (their spouse or partner);</w:t>
            </w:r>
          </w:p>
          <w:p w14:paraId="34284095" w14:textId="2470F567" w:rsidR="002B354C" w:rsidRPr="0098602B" w:rsidRDefault="002B354C">
            <w:pPr>
              <w:pStyle w:val="ListParagraph"/>
              <w:numPr>
                <w:ilvl w:val="0"/>
                <w:numId w:val="33"/>
              </w:numPr>
              <w:spacing w:before="120"/>
              <w:ind w:left="202" w:hanging="202"/>
              <w:rPr>
                <w:rFonts w:ascii="Arial" w:eastAsia="Times New Roman" w:hAnsi="Arial" w:cs="Arial"/>
                <w:sz w:val="24"/>
                <w:szCs w:val="24"/>
                <w:u w:val="single"/>
              </w:rPr>
            </w:pPr>
            <w:r w:rsidRPr="0098602B">
              <w:rPr>
                <w:rFonts w:ascii="Arial" w:eastAsia="Times New Roman" w:hAnsi="Arial" w:cs="Arial"/>
                <w:sz w:val="24"/>
                <w:szCs w:val="24"/>
                <w:u w:val="single"/>
              </w:rPr>
              <w:t>Housing Benefit: where the Councillor (or spouse or partner) receives housing benefit;</w:t>
            </w:r>
          </w:p>
          <w:p w14:paraId="074262A8" w14:textId="69CF4EAC" w:rsidR="002B354C" w:rsidRPr="0098602B" w:rsidRDefault="002B354C">
            <w:pPr>
              <w:pStyle w:val="ListParagraph"/>
              <w:numPr>
                <w:ilvl w:val="0"/>
                <w:numId w:val="33"/>
              </w:numPr>
              <w:spacing w:before="120"/>
              <w:ind w:left="202" w:hanging="202"/>
              <w:rPr>
                <w:rFonts w:ascii="Arial" w:eastAsia="Times New Roman" w:hAnsi="Arial" w:cs="Arial"/>
                <w:sz w:val="24"/>
                <w:szCs w:val="24"/>
                <w:u w:val="single"/>
              </w:rPr>
            </w:pPr>
            <w:r w:rsidRPr="0098602B">
              <w:rPr>
                <w:rFonts w:ascii="Arial" w:eastAsia="Times New Roman" w:hAnsi="Arial" w:cs="Arial"/>
                <w:sz w:val="24"/>
                <w:szCs w:val="24"/>
                <w:u w:val="single"/>
              </w:rPr>
              <w:t>Any Ceremonial Honours given to Members;</w:t>
            </w:r>
          </w:p>
          <w:p w14:paraId="6CAC871A" w14:textId="70A02943" w:rsidR="002B354C" w:rsidRPr="0098602B" w:rsidRDefault="002B354C">
            <w:pPr>
              <w:pStyle w:val="ListParagraph"/>
              <w:numPr>
                <w:ilvl w:val="0"/>
                <w:numId w:val="33"/>
              </w:numPr>
              <w:spacing w:before="120"/>
              <w:ind w:left="202" w:hanging="202"/>
              <w:rPr>
                <w:rFonts w:ascii="Arial" w:eastAsia="Times New Roman" w:hAnsi="Arial" w:cs="Arial"/>
                <w:sz w:val="24"/>
                <w:szCs w:val="24"/>
                <w:u w:val="single"/>
              </w:rPr>
            </w:pPr>
            <w:r w:rsidRPr="0098602B">
              <w:rPr>
                <w:rFonts w:ascii="Arial" w:eastAsia="Times New Roman" w:hAnsi="Arial" w:cs="Arial"/>
                <w:sz w:val="24"/>
                <w:szCs w:val="24"/>
                <w:u w:val="single"/>
              </w:rPr>
              <w:t>Setting the Council Tax or a precept under the Local Government and Finance Act 1992 (or any subsequent legislation); and</w:t>
            </w:r>
          </w:p>
          <w:p w14:paraId="2DCE5618" w14:textId="67561DD5" w:rsidR="002B354C" w:rsidRPr="0098602B" w:rsidRDefault="002B354C" w:rsidP="00667C33">
            <w:pPr>
              <w:pStyle w:val="ListParagraph"/>
              <w:numPr>
                <w:ilvl w:val="0"/>
                <w:numId w:val="33"/>
              </w:numPr>
              <w:spacing w:before="120"/>
              <w:ind w:left="202" w:hanging="202"/>
              <w:rPr>
                <w:rFonts w:eastAsia="Times New Roman"/>
                <w:u w:val="single"/>
              </w:rPr>
            </w:pPr>
            <w:r w:rsidRPr="0098602B">
              <w:rPr>
                <w:rFonts w:ascii="Arial" w:eastAsia="Times New Roman" w:hAnsi="Arial" w:cs="Arial"/>
                <w:sz w:val="24"/>
                <w:szCs w:val="24"/>
                <w:u w:val="single"/>
              </w:rPr>
              <w:lastRenderedPageBreak/>
              <w:t>Setting a Local Council Tax Reduction Scheme or Local scheme for the payment of business rates (including eligibility for rebates and reductions) for the purposes of the Local Government Finance Act 2012 (or any subsequent legislation)</w:t>
            </w:r>
          </w:p>
        </w:tc>
      </w:tr>
    </w:tbl>
    <w:p w14:paraId="3CE02F83" w14:textId="77777777" w:rsidR="0073032D" w:rsidRPr="0098602B" w:rsidRDefault="0073032D" w:rsidP="00851609"/>
    <w:sectPr w:rsidR="0073032D" w:rsidRPr="0098602B" w:rsidSect="00AA53A5">
      <w:headerReference w:type="default" r:id="rId8"/>
      <w:footerReference w:type="default" r:id="rId9"/>
      <w:pgSz w:w="16838" w:h="11906" w:orient="landscape"/>
      <w:pgMar w:top="709" w:right="1843" w:bottom="993"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0CB38" w14:textId="77777777" w:rsidR="00786E39" w:rsidRDefault="00786E39" w:rsidP="003659B8">
      <w:r>
        <w:separator/>
      </w:r>
    </w:p>
  </w:endnote>
  <w:endnote w:type="continuationSeparator" w:id="0">
    <w:p w14:paraId="0BABCE15" w14:textId="77777777" w:rsidR="00786E39" w:rsidRDefault="00786E39" w:rsidP="003659B8">
      <w:r>
        <w:continuationSeparator/>
      </w:r>
    </w:p>
  </w:endnote>
  <w:endnote w:type="continuationNotice" w:id="1">
    <w:p w14:paraId="4C908D55" w14:textId="77777777" w:rsidR="00786E39" w:rsidRDefault="00786E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Bold,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53570" w14:textId="5308B215" w:rsidR="00786E39" w:rsidRDefault="00786E39" w:rsidP="007B1A28">
    <w:pPr>
      <w:pStyle w:val="Footer"/>
    </w:pPr>
    <w:r>
      <w:t xml:space="preserve">New text is </w:t>
    </w:r>
    <w:r w:rsidRPr="00C27D93">
      <w:rPr>
        <w:u w:val="single"/>
      </w:rPr>
      <w:t>underlined</w:t>
    </w:r>
  </w:p>
  <w:p w14:paraId="781FC21B" w14:textId="77777777" w:rsidR="00786E39" w:rsidRDefault="00786E39" w:rsidP="007B1A28">
    <w:pPr>
      <w:pStyle w:val="Footer"/>
      <w:rPr>
        <w:strike/>
      </w:rPr>
    </w:pPr>
    <w:r>
      <w:t xml:space="preserve">Deleted text is </w:t>
    </w:r>
    <w:proofErr w:type="spellStart"/>
    <w:r w:rsidRPr="00C27D93">
      <w:rPr>
        <w:strike/>
      </w:rPr>
      <w:t>struckthrough</w:t>
    </w:r>
    <w:proofErr w:type="spellEnd"/>
  </w:p>
  <w:p w14:paraId="10A521FF" w14:textId="37DF6880" w:rsidR="00786E39" w:rsidRDefault="00786E39">
    <w:pPr>
      <w:pStyle w:val="Footer"/>
    </w:pPr>
    <w:r>
      <w:t>February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2EA3EC" w14:textId="77777777" w:rsidR="00786E39" w:rsidRDefault="00786E39" w:rsidP="003659B8">
      <w:r>
        <w:separator/>
      </w:r>
    </w:p>
  </w:footnote>
  <w:footnote w:type="continuationSeparator" w:id="0">
    <w:p w14:paraId="7CA86DF0" w14:textId="77777777" w:rsidR="00786E39" w:rsidRDefault="00786E39" w:rsidP="003659B8">
      <w:r>
        <w:continuationSeparator/>
      </w:r>
    </w:p>
  </w:footnote>
  <w:footnote w:type="continuationNotice" w:id="1">
    <w:p w14:paraId="200B23E3" w14:textId="77777777" w:rsidR="00786E39" w:rsidRDefault="00786E3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2A904" w14:textId="2111E195" w:rsidR="00786E39" w:rsidRDefault="00786E39" w:rsidP="007B1A28">
    <w:pPr>
      <w:pStyle w:val="Title"/>
      <w:jc w:val="left"/>
    </w:pPr>
    <w:r>
      <w:t>Appendix 1</w:t>
    </w:r>
  </w:p>
  <w:p w14:paraId="6B470D94" w14:textId="1A39E949" w:rsidR="00786E39" w:rsidRPr="00C27D93" w:rsidRDefault="00786E39" w:rsidP="007B1A28">
    <w:pPr>
      <w:pStyle w:val="Title"/>
      <w:jc w:val="left"/>
    </w:pPr>
    <w:r w:rsidRPr="00C27D93">
      <w:t>Constitution Review 20</w:t>
    </w:r>
    <w:r>
      <w:t>20</w:t>
    </w:r>
    <w:r w:rsidRPr="00C27D93">
      <w:t xml:space="preserve"> – </w:t>
    </w:r>
    <w:r>
      <w:t>List of proposed changes</w:t>
    </w:r>
  </w:p>
  <w:p w14:paraId="6A917F3E" w14:textId="425E6B07" w:rsidR="00786E39" w:rsidRDefault="00786E39">
    <w:pPr>
      <w:pStyle w:val="Header"/>
    </w:pPr>
  </w:p>
  <w:p w14:paraId="048B4E0C" w14:textId="77777777" w:rsidR="00786E39" w:rsidRDefault="00786E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B6CB6"/>
    <w:multiLevelType w:val="hybridMultilevel"/>
    <w:tmpl w:val="5F4C83D6"/>
    <w:lvl w:ilvl="0" w:tplc="A4EC6C62">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81859"/>
    <w:multiLevelType w:val="hybridMultilevel"/>
    <w:tmpl w:val="8132EC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1142F8"/>
    <w:multiLevelType w:val="hybridMultilevel"/>
    <w:tmpl w:val="C5DE8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1F5C25"/>
    <w:multiLevelType w:val="hybridMultilevel"/>
    <w:tmpl w:val="5E7662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8814E58"/>
    <w:multiLevelType w:val="hybridMultilevel"/>
    <w:tmpl w:val="0BEA5B10"/>
    <w:lvl w:ilvl="0" w:tplc="1AB01FA2">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404881"/>
    <w:multiLevelType w:val="hybridMultilevel"/>
    <w:tmpl w:val="9EF00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9D091D"/>
    <w:multiLevelType w:val="hybridMultilevel"/>
    <w:tmpl w:val="B2DC2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07332A"/>
    <w:multiLevelType w:val="hybridMultilevel"/>
    <w:tmpl w:val="DD00CB9A"/>
    <w:lvl w:ilvl="0" w:tplc="73F4D9C4">
      <w:start w:val="1"/>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B57DBA"/>
    <w:multiLevelType w:val="hybridMultilevel"/>
    <w:tmpl w:val="48AEB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063634"/>
    <w:multiLevelType w:val="hybridMultilevel"/>
    <w:tmpl w:val="3A94A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83AFD"/>
    <w:multiLevelType w:val="hybridMultilevel"/>
    <w:tmpl w:val="5B7C2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056D50"/>
    <w:multiLevelType w:val="hybridMultilevel"/>
    <w:tmpl w:val="AD2CDE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ADA7F6F"/>
    <w:multiLevelType w:val="hybridMultilevel"/>
    <w:tmpl w:val="768A1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EE1011"/>
    <w:multiLevelType w:val="hybridMultilevel"/>
    <w:tmpl w:val="345AB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F10E3E"/>
    <w:multiLevelType w:val="hybridMultilevel"/>
    <w:tmpl w:val="2D5800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085238"/>
    <w:multiLevelType w:val="hybridMultilevel"/>
    <w:tmpl w:val="28E8A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F53269B"/>
    <w:multiLevelType w:val="hybridMultilevel"/>
    <w:tmpl w:val="99E8FA20"/>
    <w:lvl w:ilvl="0" w:tplc="31BA2D6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09251A1"/>
    <w:multiLevelType w:val="hybridMultilevel"/>
    <w:tmpl w:val="9432E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687336"/>
    <w:multiLevelType w:val="hybridMultilevel"/>
    <w:tmpl w:val="780A7426"/>
    <w:lvl w:ilvl="0" w:tplc="2FCE54E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0AD37B3"/>
    <w:multiLevelType w:val="hybridMultilevel"/>
    <w:tmpl w:val="700E5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7F4AF0"/>
    <w:multiLevelType w:val="hybridMultilevel"/>
    <w:tmpl w:val="660C3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433298"/>
    <w:multiLevelType w:val="hybridMultilevel"/>
    <w:tmpl w:val="DB42F04E"/>
    <w:lvl w:ilvl="0" w:tplc="E7E4A72C">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D0558EE"/>
    <w:multiLevelType w:val="hybridMultilevel"/>
    <w:tmpl w:val="DAD486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E328A4C"/>
    <w:multiLevelType w:val="hybridMultilevel"/>
    <w:tmpl w:val="5AA61DB4"/>
    <w:lvl w:ilvl="0" w:tplc="0809000F">
      <w:start w:val="1"/>
      <w:numFmt w:val="decimal"/>
      <w:lvlText w:val="%1."/>
      <w:lvlJc w:val="left"/>
      <w:pPr>
        <w:ind w:left="720" w:hanging="360"/>
      </w:pPr>
      <w:rPr>
        <w:rFonts w:cs="Times New Roman"/>
        <w:color w:val="auto"/>
      </w:rPr>
    </w:lvl>
    <w:lvl w:ilvl="1" w:tplc="5828B5F9">
      <w:start w:val="1"/>
      <w:numFmt w:val="decimal"/>
      <w:lvlText w:val="%2."/>
      <w:lvlJc w:val="left"/>
      <w:pPr>
        <w:ind w:left="1440" w:hanging="360"/>
      </w:pPr>
      <w:rPr>
        <w:rFonts w:cs="Times New Roman"/>
      </w:rPr>
    </w:lvl>
    <w:lvl w:ilvl="2" w:tplc="62C5569F">
      <w:start w:val="1"/>
      <w:numFmt w:val="decimal"/>
      <w:lvlText w:val="%3."/>
      <w:lvlJc w:val="left"/>
      <w:pPr>
        <w:ind w:left="2160" w:hanging="360"/>
      </w:pPr>
      <w:rPr>
        <w:rFonts w:cs="Times New Roman"/>
      </w:rPr>
    </w:lvl>
    <w:lvl w:ilvl="3" w:tplc="2E7DD080">
      <w:start w:val="1"/>
      <w:numFmt w:val="decimal"/>
      <w:lvlText w:val="%4."/>
      <w:lvlJc w:val="left"/>
      <w:pPr>
        <w:ind w:left="2880" w:hanging="360"/>
      </w:pPr>
      <w:rPr>
        <w:rFonts w:cs="Times New Roman"/>
      </w:rPr>
    </w:lvl>
    <w:lvl w:ilvl="4" w:tplc="48EA5B51">
      <w:start w:val="1"/>
      <w:numFmt w:val="decimal"/>
      <w:lvlText w:val="%5."/>
      <w:lvlJc w:val="left"/>
      <w:pPr>
        <w:ind w:left="3600" w:hanging="360"/>
      </w:pPr>
      <w:rPr>
        <w:rFonts w:cs="Times New Roman"/>
      </w:rPr>
    </w:lvl>
    <w:lvl w:ilvl="5" w:tplc="2521551D">
      <w:start w:val="1"/>
      <w:numFmt w:val="decimal"/>
      <w:lvlText w:val="%6."/>
      <w:lvlJc w:val="left"/>
      <w:pPr>
        <w:ind w:left="4320" w:hanging="360"/>
      </w:pPr>
      <w:rPr>
        <w:rFonts w:cs="Times New Roman"/>
      </w:rPr>
    </w:lvl>
    <w:lvl w:ilvl="6" w:tplc="47B73DF9">
      <w:start w:val="1"/>
      <w:numFmt w:val="decimal"/>
      <w:lvlText w:val="%7."/>
      <w:lvlJc w:val="left"/>
      <w:pPr>
        <w:ind w:left="5040" w:hanging="360"/>
      </w:pPr>
      <w:rPr>
        <w:rFonts w:cs="Times New Roman"/>
      </w:rPr>
    </w:lvl>
    <w:lvl w:ilvl="7" w:tplc="7ED62A55">
      <w:start w:val="1"/>
      <w:numFmt w:val="decimal"/>
      <w:lvlText w:val="%8."/>
      <w:lvlJc w:val="left"/>
      <w:pPr>
        <w:ind w:left="5760" w:hanging="360"/>
      </w:pPr>
      <w:rPr>
        <w:rFonts w:cs="Times New Roman"/>
      </w:rPr>
    </w:lvl>
    <w:lvl w:ilvl="8" w:tplc="3C8318E3">
      <w:start w:val="1"/>
      <w:numFmt w:val="decimal"/>
      <w:lvlText w:val="%9."/>
      <w:lvlJc w:val="left"/>
      <w:pPr>
        <w:ind w:left="6480" w:hanging="360"/>
      </w:pPr>
      <w:rPr>
        <w:rFonts w:cs="Times New Roman"/>
      </w:rPr>
    </w:lvl>
  </w:abstractNum>
  <w:abstractNum w:abstractNumId="24" w15:restartNumberingAfterBreak="0">
    <w:nsid w:val="6B5E425F"/>
    <w:multiLevelType w:val="hybridMultilevel"/>
    <w:tmpl w:val="43825F7C"/>
    <w:lvl w:ilvl="0" w:tplc="011CE91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E50C9D"/>
    <w:multiLevelType w:val="hybridMultilevel"/>
    <w:tmpl w:val="0708343C"/>
    <w:lvl w:ilvl="0" w:tplc="2FCE54E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EF6E27"/>
    <w:multiLevelType w:val="hybridMultilevel"/>
    <w:tmpl w:val="A81246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122065"/>
    <w:multiLevelType w:val="hybridMultilevel"/>
    <w:tmpl w:val="FEE0A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D56B7B"/>
    <w:multiLevelType w:val="hybridMultilevel"/>
    <w:tmpl w:val="C68219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7BA75F6"/>
    <w:multiLevelType w:val="hybridMultilevel"/>
    <w:tmpl w:val="D618F822"/>
    <w:lvl w:ilvl="0" w:tplc="5E987F4A">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D492DBD"/>
    <w:multiLevelType w:val="hybridMultilevel"/>
    <w:tmpl w:val="7682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3"/>
  </w:num>
  <w:num w:numId="4">
    <w:abstractNumId w:val="3"/>
  </w:num>
  <w:num w:numId="5">
    <w:abstractNumId w:val="4"/>
  </w:num>
  <w:num w:numId="6">
    <w:abstractNumId w:val="22"/>
  </w:num>
  <w:num w:numId="7">
    <w:abstractNumId w:val="18"/>
  </w:num>
  <w:num w:numId="8">
    <w:abstractNumId w:val="0"/>
  </w:num>
  <w:num w:numId="9">
    <w:abstractNumId w:val="11"/>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
  </w:num>
  <w:num w:numId="13">
    <w:abstractNumId w:val="19"/>
  </w:num>
  <w:num w:numId="14">
    <w:abstractNumId w:val="25"/>
  </w:num>
  <w:num w:numId="15">
    <w:abstractNumId w:val="10"/>
  </w:num>
  <w:num w:numId="16">
    <w:abstractNumId w:val="28"/>
  </w:num>
  <w:num w:numId="17">
    <w:abstractNumId w:val="5"/>
  </w:num>
  <w:num w:numId="18">
    <w:abstractNumId w:val="2"/>
  </w:num>
  <w:num w:numId="19">
    <w:abstractNumId w:val="9"/>
  </w:num>
  <w:num w:numId="20">
    <w:abstractNumId w:val="21"/>
  </w:num>
  <w:num w:numId="21">
    <w:abstractNumId w:val="16"/>
  </w:num>
  <w:num w:numId="22">
    <w:abstractNumId w:val="29"/>
  </w:num>
  <w:num w:numId="23">
    <w:abstractNumId w:val="15"/>
  </w:num>
  <w:num w:numId="24">
    <w:abstractNumId w:val="13"/>
  </w:num>
  <w:num w:numId="25">
    <w:abstractNumId w:val="24"/>
  </w:num>
  <w:num w:numId="26">
    <w:abstractNumId w:val="20"/>
  </w:num>
  <w:num w:numId="27">
    <w:abstractNumId w:val="17"/>
  </w:num>
  <w:num w:numId="28">
    <w:abstractNumId w:val="27"/>
  </w:num>
  <w:num w:numId="29">
    <w:abstractNumId w:val="26"/>
  </w:num>
  <w:num w:numId="30">
    <w:abstractNumId w:val="6"/>
  </w:num>
  <w:num w:numId="31">
    <w:abstractNumId w:val="14"/>
  </w:num>
  <w:num w:numId="32">
    <w:abstractNumId w:val="8"/>
  </w:num>
  <w:num w:numId="33">
    <w:abstractNumId w:val="12"/>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hdrShapeDefaults>
    <o:shapedefaults v:ext="edit" spidmax="983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15D"/>
    <w:rsid w:val="0001354F"/>
    <w:rsid w:val="00017189"/>
    <w:rsid w:val="00024352"/>
    <w:rsid w:val="00024466"/>
    <w:rsid w:val="0002615D"/>
    <w:rsid w:val="0003495C"/>
    <w:rsid w:val="00036709"/>
    <w:rsid w:val="000379A3"/>
    <w:rsid w:val="000451F5"/>
    <w:rsid w:val="00047F8C"/>
    <w:rsid w:val="00052135"/>
    <w:rsid w:val="0005792B"/>
    <w:rsid w:val="00057DC0"/>
    <w:rsid w:val="00062684"/>
    <w:rsid w:val="0006409D"/>
    <w:rsid w:val="000642DE"/>
    <w:rsid w:val="00070365"/>
    <w:rsid w:val="000721E8"/>
    <w:rsid w:val="0007542E"/>
    <w:rsid w:val="00080F90"/>
    <w:rsid w:val="00087E91"/>
    <w:rsid w:val="00091EBB"/>
    <w:rsid w:val="00092304"/>
    <w:rsid w:val="00095A92"/>
    <w:rsid w:val="000A235D"/>
    <w:rsid w:val="000A2B7A"/>
    <w:rsid w:val="000A54E8"/>
    <w:rsid w:val="000A621D"/>
    <w:rsid w:val="000A6907"/>
    <w:rsid w:val="000A6B21"/>
    <w:rsid w:val="000B4310"/>
    <w:rsid w:val="000C0BC8"/>
    <w:rsid w:val="000C4913"/>
    <w:rsid w:val="000E691A"/>
    <w:rsid w:val="000E72F9"/>
    <w:rsid w:val="000F0941"/>
    <w:rsid w:val="000F42A7"/>
    <w:rsid w:val="000F469A"/>
    <w:rsid w:val="000F5594"/>
    <w:rsid w:val="00104684"/>
    <w:rsid w:val="00112349"/>
    <w:rsid w:val="00116C74"/>
    <w:rsid w:val="0012449C"/>
    <w:rsid w:val="00130819"/>
    <w:rsid w:val="00131110"/>
    <w:rsid w:val="001326B7"/>
    <w:rsid w:val="00135843"/>
    <w:rsid w:val="00136413"/>
    <w:rsid w:val="00137259"/>
    <w:rsid w:val="0014056A"/>
    <w:rsid w:val="00140EB3"/>
    <w:rsid w:val="00142963"/>
    <w:rsid w:val="001450F7"/>
    <w:rsid w:val="0014551A"/>
    <w:rsid w:val="00147F5F"/>
    <w:rsid w:val="00151194"/>
    <w:rsid w:val="001717BF"/>
    <w:rsid w:val="001740FA"/>
    <w:rsid w:val="00176FBC"/>
    <w:rsid w:val="00182F09"/>
    <w:rsid w:val="00186ACB"/>
    <w:rsid w:val="0018752F"/>
    <w:rsid w:val="0019242A"/>
    <w:rsid w:val="00194989"/>
    <w:rsid w:val="001A31C6"/>
    <w:rsid w:val="001A4CA6"/>
    <w:rsid w:val="001A7F2B"/>
    <w:rsid w:val="001B206E"/>
    <w:rsid w:val="001B30E2"/>
    <w:rsid w:val="001B3F06"/>
    <w:rsid w:val="001B6B77"/>
    <w:rsid w:val="001C0531"/>
    <w:rsid w:val="001C5331"/>
    <w:rsid w:val="001C69FF"/>
    <w:rsid w:val="001D5764"/>
    <w:rsid w:val="001D5F5F"/>
    <w:rsid w:val="001E2582"/>
    <w:rsid w:val="001E589D"/>
    <w:rsid w:val="001E6F3B"/>
    <w:rsid w:val="001F5988"/>
    <w:rsid w:val="002026D4"/>
    <w:rsid w:val="00203270"/>
    <w:rsid w:val="002077D4"/>
    <w:rsid w:val="0021151C"/>
    <w:rsid w:val="002125F0"/>
    <w:rsid w:val="00217114"/>
    <w:rsid w:val="002227A4"/>
    <w:rsid w:val="00223562"/>
    <w:rsid w:val="0023383F"/>
    <w:rsid w:val="00240088"/>
    <w:rsid w:val="0024169B"/>
    <w:rsid w:val="00243874"/>
    <w:rsid w:val="00245233"/>
    <w:rsid w:val="002518A6"/>
    <w:rsid w:val="002556B8"/>
    <w:rsid w:val="00262FC2"/>
    <w:rsid w:val="0026537D"/>
    <w:rsid w:val="00276969"/>
    <w:rsid w:val="00287AD5"/>
    <w:rsid w:val="00290A00"/>
    <w:rsid w:val="0029217C"/>
    <w:rsid w:val="00295123"/>
    <w:rsid w:val="002A3176"/>
    <w:rsid w:val="002A3327"/>
    <w:rsid w:val="002A51FD"/>
    <w:rsid w:val="002A52E2"/>
    <w:rsid w:val="002A6000"/>
    <w:rsid w:val="002B2558"/>
    <w:rsid w:val="002B26BA"/>
    <w:rsid w:val="002B354C"/>
    <w:rsid w:val="002B4218"/>
    <w:rsid w:val="002B61AB"/>
    <w:rsid w:val="002C0BD8"/>
    <w:rsid w:val="002C2FFF"/>
    <w:rsid w:val="002C59C8"/>
    <w:rsid w:val="002D7908"/>
    <w:rsid w:val="002E2900"/>
    <w:rsid w:val="002E3AD7"/>
    <w:rsid w:val="002F40EC"/>
    <w:rsid w:val="003021F3"/>
    <w:rsid w:val="0030348A"/>
    <w:rsid w:val="003048C3"/>
    <w:rsid w:val="0031060C"/>
    <w:rsid w:val="003117F8"/>
    <w:rsid w:val="0031575C"/>
    <w:rsid w:val="00320F56"/>
    <w:rsid w:val="00323C88"/>
    <w:rsid w:val="00324DBE"/>
    <w:rsid w:val="003374E5"/>
    <w:rsid w:val="00340411"/>
    <w:rsid w:val="00343004"/>
    <w:rsid w:val="00344489"/>
    <w:rsid w:val="00345077"/>
    <w:rsid w:val="00347C71"/>
    <w:rsid w:val="00350798"/>
    <w:rsid w:val="0035443B"/>
    <w:rsid w:val="0036061B"/>
    <w:rsid w:val="003659B8"/>
    <w:rsid w:val="00375EC9"/>
    <w:rsid w:val="0038093B"/>
    <w:rsid w:val="0038187B"/>
    <w:rsid w:val="0038322A"/>
    <w:rsid w:val="00383569"/>
    <w:rsid w:val="00386D0C"/>
    <w:rsid w:val="003909E7"/>
    <w:rsid w:val="003939F9"/>
    <w:rsid w:val="003A4255"/>
    <w:rsid w:val="003A567D"/>
    <w:rsid w:val="003C0B4C"/>
    <w:rsid w:val="003C6E68"/>
    <w:rsid w:val="003D260A"/>
    <w:rsid w:val="003D53F3"/>
    <w:rsid w:val="003F6406"/>
    <w:rsid w:val="004000D7"/>
    <w:rsid w:val="0040289C"/>
    <w:rsid w:val="004033B5"/>
    <w:rsid w:val="0040572E"/>
    <w:rsid w:val="00406BA8"/>
    <w:rsid w:val="004110CE"/>
    <w:rsid w:val="004142CE"/>
    <w:rsid w:val="004146A5"/>
    <w:rsid w:val="00417CCA"/>
    <w:rsid w:val="00421CF3"/>
    <w:rsid w:val="00421EE4"/>
    <w:rsid w:val="0042283F"/>
    <w:rsid w:val="004361B7"/>
    <w:rsid w:val="00441800"/>
    <w:rsid w:val="004422BF"/>
    <w:rsid w:val="00443C47"/>
    <w:rsid w:val="004503ED"/>
    <w:rsid w:val="0045125E"/>
    <w:rsid w:val="00454AAF"/>
    <w:rsid w:val="004604D8"/>
    <w:rsid w:val="00463A0B"/>
    <w:rsid w:val="004708B6"/>
    <w:rsid w:val="004714B9"/>
    <w:rsid w:val="004915BA"/>
    <w:rsid w:val="00494B65"/>
    <w:rsid w:val="0049734A"/>
    <w:rsid w:val="004A0FB9"/>
    <w:rsid w:val="004A1320"/>
    <w:rsid w:val="004B4A3C"/>
    <w:rsid w:val="004B6ED8"/>
    <w:rsid w:val="004B7AEB"/>
    <w:rsid w:val="004C1612"/>
    <w:rsid w:val="004C2F3B"/>
    <w:rsid w:val="004C3D2A"/>
    <w:rsid w:val="004D1819"/>
    <w:rsid w:val="004D4870"/>
    <w:rsid w:val="004E0354"/>
    <w:rsid w:val="004E487C"/>
    <w:rsid w:val="004E4F68"/>
    <w:rsid w:val="004E6C84"/>
    <w:rsid w:val="004F5A7B"/>
    <w:rsid w:val="004F5E2B"/>
    <w:rsid w:val="004F66A7"/>
    <w:rsid w:val="004F6D1C"/>
    <w:rsid w:val="00501956"/>
    <w:rsid w:val="00504E43"/>
    <w:rsid w:val="00511E1D"/>
    <w:rsid w:val="00520CDA"/>
    <w:rsid w:val="005233B6"/>
    <w:rsid w:val="00530E7F"/>
    <w:rsid w:val="00532210"/>
    <w:rsid w:val="005346F8"/>
    <w:rsid w:val="00534A35"/>
    <w:rsid w:val="00535E2D"/>
    <w:rsid w:val="00540616"/>
    <w:rsid w:val="00540692"/>
    <w:rsid w:val="00543535"/>
    <w:rsid w:val="00543C17"/>
    <w:rsid w:val="005446E1"/>
    <w:rsid w:val="005501BE"/>
    <w:rsid w:val="00551FD7"/>
    <w:rsid w:val="005545DE"/>
    <w:rsid w:val="00560B75"/>
    <w:rsid w:val="0056762B"/>
    <w:rsid w:val="005718A6"/>
    <w:rsid w:val="005733CF"/>
    <w:rsid w:val="00573E72"/>
    <w:rsid w:val="00581DA4"/>
    <w:rsid w:val="005831CD"/>
    <w:rsid w:val="00583F3E"/>
    <w:rsid w:val="005907EC"/>
    <w:rsid w:val="005927F4"/>
    <w:rsid w:val="00595094"/>
    <w:rsid w:val="005A2BE5"/>
    <w:rsid w:val="005B3638"/>
    <w:rsid w:val="005B4CCE"/>
    <w:rsid w:val="005B52DA"/>
    <w:rsid w:val="005B71C5"/>
    <w:rsid w:val="005C2117"/>
    <w:rsid w:val="005C6046"/>
    <w:rsid w:val="005C620F"/>
    <w:rsid w:val="005D13A0"/>
    <w:rsid w:val="005D55F8"/>
    <w:rsid w:val="005E097C"/>
    <w:rsid w:val="005E1600"/>
    <w:rsid w:val="005E3549"/>
    <w:rsid w:val="005E7A8E"/>
    <w:rsid w:val="005F1987"/>
    <w:rsid w:val="005F6086"/>
    <w:rsid w:val="005F75A9"/>
    <w:rsid w:val="00600126"/>
    <w:rsid w:val="00600DA6"/>
    <w:rsid w:val="006011BB"/>
    <w:rsid w:val="00601E68"/>
    <w:rsid w:val="006033D7"/>
    <w:rsid w:val="00603975"/>
    <w:rsid w:val="00606116"/>
    <w:rsid w:val="00607339"/>
    <w:rsid w:val="00610F69"/>
    <w:rsid w:val="00611061"/>
    <w:rsid w:val="00626431"/>
    <w:rsid w:val="006270AA"/>
    <w:rsid w:val="00630A4C"/>
    <w:rsid w:val="0064285B"/>
    <w:rsid w:val="00646ADF"/>
    <w:rsid w:val="00661DCE"/>
    <w:rsid w:val="00663B82"/>
    <w:rsid w:val="00665BE9"/>
    <w:rsid w:val="00666421"/>
    <w:rsid w:val="00667263"/>
    <w:rsid w:val="00667C33"/>
    <w:rsid w:val="0067085E"/>
    <w:rsid w:val="0067361B"/>
    <w:rsid w:val="00674471"/>
    <w:rsid w:val="006747B7"/>
    <w:rsid w:val="00675236"/>
    <w:rsid w:val="006801DA"/>
    <w:rsid w:val="00681D9E"/>
    <w:rsid w:val="00686711"/>
    <w:rsid w:val="0069483A"/>
    <w:rsid w:val="006973AC"/>
    <w:rsid w:val="006A22C4"/>
    <w:rsid w:val="006A43A1"/>
    <w:rsid w:val="006A7172"/>
    <w:rsid w:val="006B62F0"/>
    <w:rsid w:val="006C185B"/>
    <w:rsid w:val="006D0669"/>
    <w:rsid w:val="006D2A01"/>
    <w:rsid w:val="006D2AE8"/>
    <w:rsid w:val="006E0C7B"/>
    <w:rsid w:val="006E14DC"/>
    <w:rsid w:val="006E19E4"/>
    <w:rsid w:val="006E204A"/>
    <w:rsid w:val="006E2478"/>
    <w:rsid w:val="006E37F4"/>
    <w:rsid w:val="006E7EC6"/>
    <w:rsid w:val="006F2F92"/>
    <w:rsid w:val="006F3C1A"/>
    <w:rsid w:val="006F6838"/>
    <w:rsid w:val="006F7568"/>
    <w:rsid w:val="00700853"/>
    <w:rsid w:val="00700B01"/>
    <w:rsid w:val="00700F7C"/>
    <w:rsid w:val="0070280E"/>
    <w:rsid w:val="00702E1E"/>
    <w:rsid w:val="007057BF"/>
    <w:rsid w:val="00707BFF"/>
    <w:rsid w:val="0071083C"/>
    <w:rsid w:val="007129B7"/>
    <w:rsid w:val="00713183"/>
    <w:rsid w:val="00716652"/>
    <w:rsid w:val="00716D2A"/>
    <w:rsid w:val="00723EDF"/>
    <w:rsid w:val="0073032D"/>
    <w:rsid w:val="007341A6"/>
    <w:rsid w:val="0074019A"/>
    <w:rsid w:val="0074241F"/>
    <w:rsid w:val="00743045"/>
    <w:rsid w:val="00751E96"/>
    <w:rsid w:val="00752C11"/>
    <w:rsid w:val="0075322F"/>
    <w:rsid w:val="00753FD8"/>
    <w:rsid w:val="00761834"/>
    <w:rsid w:val="00766373"/>
    <w:rsid w:val="00776590"/>
    <w:rsid w:val="0078203F"/>
    <w:rsid w:val="00785E8A"/>
    <w:rsid w:val="00786E39"/>
    <w:rsid w:val="007871C0"/>
    <w:rsid w:val="007908F4"/>
    <w:rsid w:val="007A0232"/>
    <w:rsid w:val="007A1A90"/>
    <w:rsid w:val="007A1E00"/>
    <w:rsid w:val="007A2DEC"/>
    <w:rsid w:val="007A4F90"/>
    <w:rsid w:val="007A5A08"/>
    <w:rsid w:val="007A6D78"/>
    <w:rsid w:val="007B1A28"/>
    <w:rsid w:val="007B53F5"/>
    <w:rsid w:val="007C43C2"/>
    <w:rsid w:val="007C6291"/>
    <w:rsid w:val="007E0B4D"/>
    <w:rsid w:val="007E71AA"/>
    <w:rsid w:val="007F1784"/>
    <w:rsid w:val="007F45D0"/>
    <w:rsid w:val="0080007C"/>
    <w:rsid w:val="00801B08"/>
    <w:rsid w:val="00803D6D"/>
    <w:rsid w:val="008044B4"/>
    <w:rsid w:val="0080461D"/>
    <w:rsid w:val="008250E9"/>
    <w:rsid w:val="008303CD"/>
    <w:rsid w:val="00833ED5"/>
    <w:rsid w:val="0084527C"/>
    <w:rsid w:val="00851609"/>
    <w:rsid w:val="00861621"/>
    <w:rsid w:val="00867F83"/>
    <w:rsid w:val="00871312"/>
    <w:rsid w:val="0087183B"/>
    <w:rsid w:val="00873A07"/>
    <w:rsid w:val="00873DAA"/>
    <w:rsid w:val="00884AE5"/>
    <w:rsid w:val="008861CC"/>
    <w:rsid w:val="0089079B"/>
    <w:rsid w:val="008919B6"/>
    <w:rsid w:val="008A22C6"/>
    <w:rsid w:val="008B72E3"/>
    <w:rsid w:val="008C1B8E"/>
    <w:rsid w:val="008C5A1D"/>
    <w:rsid w:val="008D721E"/>
    <w:rsid w:val="008E5F3C"/>
    <w:rsid w:val="008E7BD5"/>
    <w:rsid w:val="008F0463"/>
    <w:rsid w:val="008F3F4A"/>
    <w:rsid w:val="008F450E"/>
    <w:rsid w:val="008F66FD"/>
    <w:rsid w:val="00901527"/>
    <w:rsid w:val="00902EAA"/>
    <w:rsid w:val="0090786D"/>
    <w:rsid w:val="00911F9F"/>
    <w:rsid w:val="009125E7"/>
    <w:rsid w:val="0091785A"/>
    <w:rsid w:val="009230A0"/>
    <w:rsid w:val="00924F7C"/>
    <w:rsid w:val="00926146"/>
    <w:rsid w:val="00926E5D"/>
    <w:rsid w:val="00930EBC"/>
    <w:rsid w:val="00932002"/>
    <w:rsid w:val="00932C1D"/>
    <w:rsid w:val="009403F0"/>
    <w:rsid w:val="009536D8"/>
    <w:rsid w:val="00960FA5"/>
    <w:rsid w:val="009651BF"/>
    <w:rsid w:val="00966AE8"/>
    <w:rsid w:val="00966BE5"/>
    <w:rsid w:val="0096753B"/>
    <w:rsid w:val="00973D29"/>
    <w:rsid w:val="00973EA5"/>
    <w:rsid w:val="00975416"/>
    <w:rsid w:val="00981E9B"/>
    <w:rsid w:val="00982C19"/>
    <w:rsid w:val="0098345E"/>
    <w:rsid w:val="0098602B"/>
    <w:rsid w:val="00986677"/>
    <w:rsid w:val="00986AA2"/>
    <w:rsid w:val="00996DC8"/>
    <w:rsid w:val="009A480C"/>
    <w:rsid w:val="009A7AAA"/>
    <w:rsid w:val="009C3FE5"/>
    <w:rsid w:val="009C5E4A"/>
    <w:rsid w:val="009D0F6F"/>
    <w:rsid w:val="009D1FC3"/>
    <w:rsid w:val="009E1675"/>
    <w:rsid w:val="009E26E9"/>
    <w:rsid w:val="009E45EC"/>
    <w:rsid w:val="009F7645"/>
    <w:rsid w:val="009F7A00"/>
    <w:rsid w:val="00A034F6"/>
    <w:rsid w:val="00A03F24"/>
    <w:rsid w:val="00A12A3A"/>
    <w:rsid w:val="00A17EC7"/>
    <w:rsid w:val="00A21172"/>
    <w:rsid w:val="00A225A9"/>
    <w:rsid w:val="00A23B22"/>
    <w:rsid w:val="00A27228"/>
    <w:rsid w:val="00A33BB4"/>
    <w:rsid w:val="00A34D7D"/>
    <w:rsid w:val="00A44F47"/>
    <w:rsid w:val="00A47069"/>
    <w:rsid w:val="00A47375"/>
    <w:rsid w:val="00A53919"/>
    <w:rsid w:val="00A558D1"/>
    <w:rsid w:val="00A55C3C"/>
    <w:rsid w:val="00A56593"/>
    <w:rsid w:val="00A57248"/>
    <w:rsid w:val="00A632A8"/>
    <w:rsid w:val="00A66CFE"/>
    <w:rsid w:val="00A75BEC"/>
    <w:rsid w:val="00A80D74"/>
    <w:rsid w:val="00A87995"/>
    <w:rsid w:val="00A87D2D"/>
    <w:rsid w:val="00A954D9"/>
    <w:rsid w:val="00AA53A5"/>
    <w:rsid w:val="00AB13F3"/>
    <w:rsid w:val="00AB2A54"/>
    <w:rsid w:val="00AB4B26"/>
    <w:rsid w:val="00AB6AB9"/>
    <w:rsid w:val="00AC1EA2"/>
    <w:rsid w:val="00AC2570"/>
    <w:rsid w:val="00AC3A17"/>
    <w:rsid w:val="00AE0C2A"/>
    <w:rsid w:val="00AE106B"/>
    <w:rsid w:val="00AF2485"/>
    <w:rsid w:val="00AF7B25"/>
    <w:rsid w:val="00B0210D"/>
    <w:rsid w:val="00B02FB1"/>
    <w:rsid w:val="00B05B08"/>
    <w:rsid w:val="00B063C7"/>
    <w:rsid w:val="00B11695"/>
    <w:rsid w:val="00B146E1"/>
    <w:rsid w:val="00B15996"/>
    <w:rsid w:val="00B20586"/>
    <w:rsid w:val="00B20F76"/>
    <w:rsid w:val="00B27688"/>
    <w:rsid w:val="00B276C9"/>
    <w:rsid w:val="00B32184"/>
    <w:rsid w:val="00B51891"/>
    <w:rsid w:val="00B564ED"/>
    <w:rsid w:val="00B61555"/>
    <w:rsid w:val="00B6328F"/>
    <w:rsid w:val="00B6409B"/>
    <w:rsid w:val="00B6541D"/>
    <w:rsid w:val="00B70617"/>
    <w:rsid w:val="00B77FB8"/>
    <w:rsid w:val="00B87636"/>
    <w:rsid w:val="00B87EAD"/>
    <w:rsid w:val="00B92D74"/>
    <w:rsid w:val="00B961ED"/>
    <w:rsid w:val="00B9683D"/>
    <w:rsid w:val="00B97D80"/>
    <w:rsid w:val="00BA1340"/>
    <w:rsid w:val="00BA6B99"/>
    <w:rsid w:val="00BB2B8C"/>
    <w:rsid w:val="00BB722E"/>
    <w:rsid w:val="00BC152A"/>
    <w:rsid w:val="00BC740B"/>
    <w:rsid w:val="00BD0F51"/>
    <w:rsid w:val="00BD1921"/>
    <w:rsid w:val="00BD3D2B"/>
    <w:rsid w:val="00BE46A9"/>
    <w:rsid w:val="00BF5053"/>
    <w:rsid w:val="00BF7705"/>
    <w:rsid w:val="00C00650"/>
    <w:rsid w:val="00C02AF0"/>
    <w:rsid w:val="00C07F80"/>
    <w:rsid w:val="00C12515"/>
    <w:rsid w:val="00C166F6"/>
    <w:rsid w:val="00C16C42"/>
    <w:rsid w:val="00C223D9"/>
    <w:rsid w:val="00C27D93"/>
    <w:rsid w:val="00C30D70"/>
    <w:rsid w:val="00C31F6C"/>
    <w:rsid w:val="00C35B00"/>
    <w:rsid w:val="00C36400"/>
    <w:rsid w:val="00C37191"/>
    <w:rsid w:val="00C43460"/>
    <w:rsid w:val="00C451CE"/>
    <w:rsid w:val="00C54B5F"/>
    <w:rsid w:val="00C54CDA"/>
    <w:rsid w:val="00C56D70"/>
    <w:rsid w:val="00C57687"/>
    <w:rsid w:val="00C6588A"/>
    <w:rsid w:val="00C662F4"/>
    <w:rsid w:val="00C70133"/>
    <w:rsid w:val="00C70712"/>
    <w:rsid w:val="00C711DF"/>
    <w:rsid w:val="00C723E9"/>
    <w:rsid w:val="00C76850"/>
    <w:rsid w:val="00C77BEE"/>
    <w:rsid w:val="00C824F5"/>
    <w:rsid w:val="00C93C68"/>
    <w:rsid w:val="00C96A72"/>
    <w:rsid w:val="00CA0E18"/>
    <w:rsid w:val="00CA1C13"/>
    <w:rsid w:val="00CA6F25"/>
    <w:rsid w:val="00CB38F1"/>
    <w:rsid w:val="00CB3E62"/>
    <w:rsid w:val="00CB5A86"/>
    <w:rsid w:val="00CB641C"/>
    <w:rsid w:val="00CB6638"/>
    <w:rsid w:val="00CC2131"/>
    <w:rsid w:val="00CC7097"/>
    <w:rsid w:val="00CC7908"/>
    <w:rsid w:val="00CD06DC"/>
    <w:rsid w:val="00CD0D96"/>
    <w:rsid w:val="00CD317C"/>
    <w:rsid w:val="00CE221A"/>
    <w:rsid w:val="00CE3643"/>
    <w:rsid w:val="00CE5B50"/>
    <w:rsid w:val="00CF3F1C"/>
    <w:rsid w:val="00CF48A9"/>
    <w:rsid w:val="00CF6753"/>
    <w:rsid w:val="00D03FD3"/>
    <w:rsid w:val="00D06381"/>
    <w:rsid w:val="00D1033A"/>
    <w:rsid w:val="00D10A92"/>
    <w:rsid w:val="00D13C73"/>
    <w:rsid w:val="00D1506F"/>
    <w:rsid w:val="00D16048"/>
    <w:rsid w:val="00D21BCB"/>
    <w:rsid w:val="00D25952"/>
    <w:rsid w:val="00D35BA4"/>
    <w:rsid w:val="00D37DAD"/>
    <w:rsid w:val="00D56FB9"/>
    <w:rsid w:val="00D60F29"/>
    <w:rsid w:val="00D61681"/>
    <w:rsid w:val="00D634A0"/>
    <w:rsid w:val="00D647E8"/>
    <w:rsid w:val="00D668A2"/>
    <w:rsid w:val="00D751EA"/>
    <w:rsid w:val="00D83CA6"/>
    <w:rsid w:val="00D85F6D"/>
    <w:rsid w:val="00D86814"/>
    <w:rsid w:val="00D87300"/>
    <w:rsid w:val="00DA29D7"/>
    <w:rsid w:val="00DA640F"/>
    <w:rsid w:val="00DB7D22"/>
    <w:rsid w:val="00DC1048"/>
    <w:rsid w:val="00DC2D64"/>
    <w:rsid w:val="00DC4876"/>
    <w:rsid w:val="00DD0086"/>
    <w:rsid w:val="00DD5B13"/>
    <w:rsid w:val="00DD7BDF"/>
    <w:rsid w:val="00DE20BE"/>
    <w:rsid w:val="00DE7C5F"/>
    <w:rsid w:val="00DF00CA"/>
    <w:rsid w:val="00DF528E"/>
    <w:rsid w:val="00DF6BFE"/>
    <w:rsid w:val="00E0779A"/>
    <w:rsid w:val="00E11CB4"/>
    <w:rsid w:val="00E127B5"/>
    <w:rsid w:val="00E1332A"/>
    <w:rsid w:val="00E16CA3"/>
    <w:rsid w:val="00E233F6"/>
    <w:rsid w:val="00E3100B"/>
    <w:rsid w:val="00E32774"/>
    <w:rsid w:val="00E32FF4"/>
    <w:rsid w:val="00E372D1"/>
    <w:rsid w:val="00E37FD6"/>
    <w:rsid w:val="00E4213A"/>
    <w:rsid w:val="00E44AA5"/>
    <w:rsid w:val="00E454FA"/>
    <w:rsid w:val="00E45C67"/>
    <w:rsid w:val="00E47AFE"/>
    <w:rsid w:val="00E538EB"/>
    <w:rsid w:val="00E57C5C"/>
    <w:rsid w:val="00E632B6"/>
    <w:rsid w:val="00E65886"/>
    <w:rsid w:val="00E81127"/>
    <w:rsid w:val="00E87BD8"/>
    <w:rsid w:val="00E9105B"/>
    <w:rsid w:val="00E91F6E"/>
    <w:rsid w:val="00E95A14"/>
    <w:rsid w:val="00E96682"/>
    <w:rsid w:val="00EA1945"/>
    <w:rsid w:val="00EA2533"/>
    <w:rsid w:val="00EA6EB5"/>
    <w:rsid w:val="00EA7160"/>
    <w:rsid w:val="00EB06FE"/>
    <w:rsid w:val="00EB76D5"/>
    <w:rsid w:val="00EC156E"/>
    <w:rsid w:val="00ED1929"/>
    <w:rsid w:val="00EE44CC"/>
    <w:rsid w:val="00EE5307"/>
    <w:rsid w:val="00EE71DE"/>
    <w:rsid w:val="00EF0A71"/>
    <w:rsid w:val="00EF0D65"/>
    <w:rsid w:val="00EF366E"/>
    <w:rsid w:val="00EF4EDE"/>
    <w:rsid w:val="00EF7841"/>
    <w:rsid w:val="00F15DA2"/>
    <w:rsid w:val="00F23B9C"/>
    <w:rsid w:val="00F3216D"/>
    <w:rsid w:val="00F32467"/>
    <w:rsid w:val="00F36E05"/>
    <w:rsid w:val="00F37F06"/>
    <w:rsid w:val="00F4159A"/>
    <w:rsid w:val="00F42416"/>
    <w:rsid w:val="00F5111C"/>
    <w:rsid w:val="00F53324"/>
    <w:rsid w:val="00F56A1B"/>
    <w:rsid w:val="00F6060D"/>
    <w:rsid w:val="00F61C4D"/>
    <w:rsid w:val="00F67444"/>
    <w:rsid w:val="00F7061F"/>
    <w:rsid w:val="00F75601"/>
    <w:rsid w:val="00F75E08"/>
    <w:rsid w:val="00F82022"/>
    <w:rsid w:val="00F828AE"/>
    <w:rsid w:val="00F8409F"/>
    <w:rsid w:val="00F84CC7"/>
    <w:rsid w:val="00F91E37"/>
    <w:rsid w:val="00F924E0"/>
    <w:rsid w:val="00F92BD2"/>
    <w:rsid w:val="00FA6766"/>
    <w:rsid w:val="00FA7107"/>
    <w:rsid w:val="00FA7F21"/>
    <w:rsid w:val="00FC66CD"/>
    <w:rsid w:val="00FC6FDC"/>
    <w:rsid w:val="00FD05FB"/>
    <w:rsid w:val="00FD0E77"/>
    <w:rsid w:val="00FD1605"/>
    <w:rsid w:val="00FD2CD6"/>
    <w:rsid w:val="00FD3A85"/>
    <w:rsid w:val="00FE2F7B"/>
    <w:rsid w:val="00FF0E08"/>
    <w:rsid w:val="00FF2349"/>
    <w:rsid w:val="00FF5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5:docId w15:val="{D0755F04-79E6-41A6-A047-2CA913B18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97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5416"/>
    <w:rPr>
      <w:rFonts w:ascii="Tahoma" w:hAnsi="Tahoma" w:cs="Tahoma"/>
      <w:sz w:val="16"/>
      <w:szCs w:val="16"/>
    </w:rPr>
  </w:style>
  <w:style w:type="character" w:customStyle="1" w:styleId="BalloonTextChar">
    <w:name w:val="Balloon Text Char"/>
    <w:link w:val="BalloonText"/>
    <w:uiPriority w:val="99"/>
    <w:semiHidden/>
    <w:rsid w:val="00975416"/>
    <w:rPr>
      <w:rFonts w:ascii="Tahoma" w:hAnsi="Tahoma" w:cs="Tahoma"/>
      <w:sz w:val="16"/>
      <w:szCs w:val="16"/>
      <w:lang w:eastAsia="en-US"/>
    </w:rPr>
  </w:style>
  <w:style w:type="character" w:styleId="Hyperlink">
    <w:name w:val="Hyperlink"/>
    <w:uiPriority w:val="99"/>
    <w:unhideWhenUsed/>
    <w:rsid w:val="00603975"/>
    <w:rPr>
      <w:color w:val="0000FF"/>
      <w:u w:val="single"/>
    </w:rPr>
  </w:style>
  <w:style w:type="character" w:styleId="FollowedHyperlink">
    <w:name w:val="FollowedHyperlink"/>
    <w:uiPriority w:val="99"/>
    <w:semiHidden/>
    <w:unhideWhenUsed/>
    <w:rsid w:val="0098345E"/>
    <w:rPr>
      <w:color w:val="800080"/>
      <w:u w:val="single"/>
    </w:rPr>
  </w:style>
  <w:style w:type="paragraph" w:styleId="FootnoteText">
    <w:name w:val="footnote text"/>
    <w:basedOn w:val="Normal"/>
    <w:link w:val="FootnoteTextChar"/>
    <w:uiPriority w:val="99"/>
    <w:semiHidden/>
    <w:unhideWhenUsed/>
    <w:rsid w:val="003659B8"/>
    <w:rPr>
      <w:sz w:val="20"/>
      <w:szCs w:val="20"/>
    </w:rPr>
  </w:style>
  <w:style w:type="character" w:customStyle="1" w:styleId="FootnoteTextChar">
    <w:name w:val="Footnote Text Char"/>
    <w:link w:val="FootnoteText"/>
    <w:uiPriority w:val="99"/>
    <w:semiHidden/>
    <w:rsid w:val="003659B8"/>
    <w:rPr>
      <w:lang w:eastAsia="en-US"/>
    </w:rPr>
  </w:style>
  <w:style w:type="character" w:styleId="FootnoteReference">
    <w:name w:val="footnote reference"/>
    <w:uiPriority w:val="99"/>
    <w:semiHidden/>
    <w:unhideWhenUsed/>
    <w:rsid w:val="003659B8"/>
    <w:rPr>
      <w:vertAlign w:val="superscript"/>
    </w:rPr>
  </w:style>
  <w:style w:type="paragraph" w:styleId="Header">
    <w:name w:val="header"/>
    <w:basedOn w:val="Normal"/>
    <w:link w:val="HeaderChar"/>
    <w:uiPriority w:val="99"/>
    <w:unhideWhenUsed/>
    <w:rsid w:val="005E7A8E"/>
    <w:pPr>
      <w:tabs>
        <w:tab w:val="center" w:pos="4513"/>
        <w:tab w:val="right" w:pos="9026"/>
      </w:tabs>
    </w:pPr>
  </w:style>
  <w:style w:type="character" w:customStyle="1" w:styleId="HeaderChar">
    <w:name w:val="Header Char"/>
    <w:link w:val="Header"/>
    <w:uiPriority w:val="99"/>
    <w:rsid w:val="005E7A8E"/>
    <w:rPr>
      <w:sz w:val="24"/>
      <w:szCs w:val="24"/>
      <w:lang w:eastAsia="en-US"/>
    </w:rPr>
  </w:style>
  <w:style w:type="paragraph" w:styleId="Footer">
    <w:name w:val="footer"/>
    <w:basedOn w:val="Normal"/>
    <w:link w:val="FooterChar"/>
    <w:uiPriority w:val="99"/>
    <w:unhideWhenUsed/>
    <w:rsid w:val="005E7A8E"/>
    <w:pPr>
      <w:tabs>
        <w:tab w:val="center" w:pos="4513"/>
        <w:tab w:val="right" w:pos="9026"/>
      </w:tabs>
    </w:pPr>
  </w:style>
  <w:style w:type="character" w:customStyle="1" w:styleId="FooterChar">
    <w:name w:val="Footer Char"/>
    <w:link w:val="Footer"/>
    <w:uiPriority w:val="99"/>
    <w:rsid w:val="005E7A8E"/>
    <w:rPr>
      <w:sz w:val="24"/>
      <w:szCs w:val="24"/>
      <w:lang w:eastAsia="en-US"/>
    </w:rPr>
  </w:style>
  <w:style w:type="paragraph" w:styleId="ListParagraph">
    <w:name w:val="List Paragraph"/>
    <w:basedOn w:val="Normal"/>
    <w:uiPriority w:val="34"/>
    <w:qFormat/>
    <w:rsid w:val="002B4218"/>
    <w:pPr>
      <w:ind w:left="720"/>
    </w:pPr>
    <w:rPr>
      <w:rFonts w:ascii="Calibri" w:hAnsi="Calibri" w:cs="Times New Roman"/>
      <w:sz w:val="22"/>
      <w:szCs w:val="22"/>
    </w:rPr>
  </w:style>
  <w:style w:type="paragraph" w:customStyle="1" w:styleId="Default">
    <w:name w:val="Default"/>
    <w:basedOn w:val="Normal"/>
    <w:rsid w:val="00BA6B99"/>
    <w:pPr>
      <w:autoSpaceDE w:val="0"/>
      <w:autoSpaceDN w:val="0"/>
    </w:pPr>
    <w:rPr>
      <w:color w:val="000000"/>
    </w:rPr>
  </w:style>
  <w:style w:type="paragraph" w:customStyle="1" w:styleId="NormalXX">
    <w:name w:val="NormalXX"/>
    <w:basedOn w:val="Normal"/>
    <w:rsid w:val="004E487C"/>
    <w:pPr>
      <w:autoSpaceDE w:val="0"/>
      <w:autoSpaceDN w:val="0"/>
    </w:pPr>
    <w:rPr>
      <w:rFonts w:ascii="Trebuchet MS" w:eastAsia="Times New Roman" w:hAnsi="Trebuchet MS" w:cs="Times New Roman"/>
      <w:sz w:val="20"/>
      <w:szCs w:val="20"/>
      <w:lang w:eastAsia="en-GB"/>
    </w:rPr>
  </w:style>
  <w:style w:type="character" w:styleId="CommentReference">
    <w:name w:val="annotation reference"/>
    <w:basedOn w:val="DefaultParagraphFont"/>
    <w:uiPriority w:val="99"/>
    <w:semiHidden/>
    <w:unhideWhenUsed/>
    <w:rsid w:val="006E7EC6"/>
    <w:rPr>
      <w:sz w:val="16"/>
      <w:szCs w:val="16"/>
    </w:rPr>
  </w:style>
  <w:style w:type="paragraph" w:styleId="CommentText">
    <w:name w:val="annotation text"/>
    <w:basedOn w:val="Normal"/>
    <w:link w:val="CommentTextChar"/>
    <w:uiPriority w:val="99"/>
    <w:semiHidden/>
    <w:unhideWhenUsed/>
    <w:rsid w:val="006E7EC6"/>
    <w:rPr>
      <w:sz w:val="20"/>
      <w:szCs w:val="20"/>
    </w:rPr>
  </w:style>
  <w:style w:type="character" w:customStyle="1" w:styleId="CommentTextChar">
    <w:name w:val="Comment Text Char"/>
    <w:basedOn w:val="DefaultParagraphFont"/>
    <w:link w:val="CommentText"/>
    <w:uiPriority w:val="99"/>
    <w:semiHidden/>
    <w:rsid w:val="006E7EC6"/>
    <w:rPr>
      <w:lang w:eastAsia="en-US"/>
    </w:rPr>
  </w:style>
  <w:style w:type="paragraph" w:styleId="CommentSubject">
    <w:name w:val="annotation subject"/>
    <w:basedOn w:val="CommentText"/>
    <w:next w:val="CommentText"/>
    <w:link w:val="CommentSubjectChar"/>
    <w:uiPriority w:val="99"/>
    <w:semiHidden/>
    <w:unhideWhenUsed/>
    <w:rsid w:val="006E7EC6"/>
    <w:rPr>
      <w:b/>
      <w:bCs/>
    </w:rPr>
  </w:style>
  <w:style w:type="character" w:customStyle="1" w:styleId="CommentSubjectChar">
    <w:name w:val="Comment Subject Char"/>
    <w:basedOn w:val="CommentTextChar"/>
    <w:link w:val="CommentSubject"/>
    <w:uiPriority w:val="99"/>
    <w:semiHidden/>
    <w:rsid w:val="006E7EC6"/>
    <w:rPr>
      <w:b/>
      <w:bCs/>
      <w:lang w:eastAsia="en-US"/>
    </w:rPr>
  </w:style>
  <w:style w:type="paragraph" w:styleId="Title">
    <w:name w:val="Title"/>
    <w:basedOn w:val="Normal"/>
    <w:next w:val="Normal"/>
    <w:link w:val="TitleChar"/>
    <w:uiPriority w:val="10"/>
    <w:qFormat/>
    <w:rsid w:val="00C27D93"/>
    <w:pPr>
      <w:ind w:left="284"/>
      <w:jc w:val="center"/>
    </w:pPr>
    <w:rPr>
      <w:b/>
      <w:sz w:val="36"/>
      <w:szCs w:val="36"/>
    </w:rPr>
  </w:style>
  <w:style w:type="character" w:customStyle="1" w:styleId="TitleChar">
    <w:name w:val="Title Char"/>
    <w:basedOn w:val="DefaultParagraphFont"/>
    <w:link w:val="Title"/>
    <w:uiPriority w:val="10"/>
    <w:rsid w:val="00C27D93"/>
    <w:rPr>
      <w:b/>
      <w:sz w:val="36"/>
      <w:szCs w:val="36"/>
      <w:lang w:eastAsia="en-US"/>
    </w:rPr>
  </w:style>
  <w:style w:type="paragraph" w:styleId="Revision">
    <w:name w:val="Revision"/>
    <w:hidden/>
    <w:uiPriority w:val="99"/>
    <w:semiHidden/>
    <w:rsid w:val="004C2F3B"/>
    <w:rPr>
      <w:sz w:val="24"/>
      <w:szCs w:val="24"/>
      <w:lang w:eastAsia="en-US"/>
    </w:rPr>
  </w:style>
  <w:style w:type="table" w:customStyle="1" w:styleId="TableGrid1">
    <w:name w:val="Table Grid1"/>
    <w:basedOn w:val="TableNormal"/>
    <w:next w:val="TableGrid"/>
    <w:uiPriority w:val="59"/>
    <w:rsid w:val="00F32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57831">
      <w:bodyDiv w:val="1"/>
      <w:marLeft w:val="0"/>
      <w:marRight w:val="0"/>
      <w:marTop w:val="0"/>
      <w:marBottom w:val="0"/>
      <w:divBdr>
        <w:top w:val="none" w:sz="0" w:space="0" w:color="auto"/>
        <w:left w:val="none" w:sz="0" w:space="0" w:color="auto"/>
        <w:bottom w:val="none" w:sz="0" w:space="0" w:color="auto"/>
        <w:right w:val="none" w:sz="0" w:space="0" w:color="auto"/>
      </w:divBdr>
    </w:div>
    <w:div w:id="210702088">
      <w:bodyDiv w:val="1"/>
      <w:marLeft w:val="0"/>
      <w:marRight w:val="0"/>
      <w:marTop w:val="0"/>
      <w:marBottom w:val="0"/>
      <w:divBdr>
        <w:top w:val="none" w:sz="0" w:space="0" w:color="auto"/>
        <w:left w:val="none" w:sz="0" w:space="0" w:color="auto"/>
        <w:bottom w:val="none" w:sz="0" w:space="0" w:color="auto"/>
        <w:right w:val="none" w:sz="0" w:space="0" w:color="auto"/>
      </w:divBdr>
    </w:div>
    <w:div w:id="301078935">
      <w:bodyDiv w:val="1"/>
      <w:marLeft w:val="0"/>
      <w:marRight w:val="0"/>
      <w:marTop w:val="0"/>
      <w:marBottom w:val="0"/>
      <w:divBdr>
        <w:top w:val="none" w:sz="0" w:space="0" w:color="auto"/>
        <w:left w:val="none" w:sz="0" w:space="0" w:color="auto"/>
        <w:bottom w:val="none" w:sz="0" w:space="0" w:color="auto"/>
        <w:right w:val="none" w:sz="0" w:space="0" w:color="auto"/>
      </w:divBdr>
    </w:div>
    <w:div w:id="444740600">
      <w:bodyDiv w:val="1"/>
      <w:marLeft w:val="0"/>
      <w:marRight w:val="0"/>
      <w:marTop w:val="0"/>
      <w:marBottom w:val="0"/>
      <w:divBdr>
        <w:top w:val="none" w:sz="0" w:space="0" w:color="auto"/>
        <w:left w:val="none" w:sz="0" w:space="0" w:color="auto"/>
        <w:bottom w:val="none" w:sz="0" w:space="0" w:color="auto"/>
        <w:right w:val="none" w:sz="0" w:space="0" w:color="auto"/>
      </w:divBdr>
    </w:div>
    <w:div w:id="466049084">
      <w:bodyDiv w:val="1"/>
      <w:marLeft w:val="0"/>
      <w:marRight w:val="0"/>
      <w:marTop w:val="0"/>
      <w:marBottom w:val="0"/>
      <w:divBdr>
        <w:top w:val="none" w:sz="0" w:space="0" w:color="auto"/>
        <w:left w:val="none" w:sz="0" w:space="0" w:color="auto"/>
        <w:bottom w:val="none" w:sz="0" w:space="0" w:color="auto"/>
        <w:right w:val="none" w:sz="0" w:space="0" w:color="auto"/>
      </w:divBdr>
    </w:div>
    <w:div w:id="473184838">
      <w:bodyDiv w:val="1"/>
      <w:marLeft w:val="0"/>
      <w:marRight w:val="0"/>
      <w:marTop w:val="0"/>
      <w:marBottom w:val="0"/>
      <w:divBdr>
        <w:top w:val="none" w:sz="0" w:space="0" w:color="auto"/>
        <w:left w:val="none" w:sz="0" w:space="0" w:color="auto"/>
        <w:bottom w:val="none" w:sz="0" w:space="0" w:color="auto"/>
        <w:right w:val="none" w:sz="0" w:space="0" w:color="auto"/>
      </w:divBdr>
    </w:div>
    <w:div w:id="514611904">
      <w:bodyDiv w:val="1"/>
      <w:marLeft w:val="0"/>
      <w:marRight w:val="0"/>
      <w:marTop w:val="0"/>
      <w:marBottom w:val="0"/>
      <w:divBdr>
        <w:top w:val="none" w:sz="0" w:space="0" w:color="auto"/>
        <w:left w:val="none" w:sz="0" w:space="0" w:color="auto"/>
        <w:bottom w:val="none" w:sz="0" w:space="0" w:color="auto"/>
        <w:right w:val="none" w:sz="0" w:space="0" w:color="auto"/>
      </w:divBdr>
    </w:div>
    <w:div w:id="533226401">
      <w:bodyDiv w:val="1"/>
      <w:marLeft w:val="0"/>
      <w:marRight w:val="0"/>
      <w:marTop w:val="0"/>
      <w:marBottom w:val="0"/>
      <w:divBdr>
        <w:top w:val="none" w:sz="0" w:space="0" w:color="auto"/>
        <w:left w:val="none" w:sz="0" w:space="0" w:color="auto"/>
        <w:bottom w:val="none" w:sz="0" w:space="0" w:color="auto"/>
        <w:right w:val="none" w:sz="0" w:space="0" w:color="auto"/>
      </w:divBdr>
    </w:div>
    <w:div w:id="664287440">
      <w:bodyDiv w:val="1"/>
      <w:marLeft w:val="0"/>
      <w:marRight w:val="0"/>
      <w:marTop w:val="0"/>
      <w:marBottom w:val="0"/>
      <w:divBdr>
        <w:top w:val="none" w:sz="0" w:space="0" w:color="auto"/>
        <w:left w:val="none" w:sz="0" w:space="0" w:color="auto"/>
        <w:bottom w:val="none" w:sz="0" w:space="0" w:color="auto"/>
        <w:right w:val="none" w:sz="0" w:space="0" w:color="auto"/>
      </w:divBdr>
    </w:div>
    <w:div w:id="862861609">
      <w:bodyDiv w:val="1"/>
      <w:marLeft w:val="0"/>
      <w:marRight w:val="0"/>
      <w:marTop w:val="0"/>
      <w:marBottom w:val="0"/>
      <w:divBdr>
        <w:top w:val="none" w:sz="0" w:space="0" w:color="auto"/>
        <w:left w:val="none" w:sz="0" w:space="0" w:color="auto"/>
        <w:bottom w:val="none" w:sz="0" w:space="0" w:color="auto"/>
        <w:right w:val="none" w:sz="0" w:space="0" w:color="auto"/>
      </w:divBdr>
    </w:div>
    <w:div w:id="922030747">
      <w:bodyDiv w:val="1"/>
      <w:marLeft w:val="0"/>
      <w:marRight w:val="0"/>
      <w:marTop w:val="0"/>
      <w:marBottom w:val="0"/>
      <w:divBdr>
        <w:top w:val="none" w:sz="0" w:space="0" w:color="auto"/>
        <w:left w:val="none" w:sz="0" w:space="0" w:color="auto"/>
        <w:bottom w:val="none" w:sz="0" w:space="0" w:color="auto"/>
        <w:right w:val="none" w:sz="0" w:space="0" w:color="auto"/>
      </w:divBdr>
    </w:div>
    <w:div w:id="929122413">
      <w:bodyDiv w:val="1"/>
      <w:marLeft w:val="0"/>
      <w:marRight w:val="0"/>
      <w:marTop w:val="0"/>
      <w:marBottom w:val="0"/>
      <w:divBdr>
        <w:top w:val="none" w:sz="0" w:space="0" w:color="auto"/>
        <w:left w:val="none" w:sz="0" w:space="0" w:color="auto"/>
        <w:bottom w:val="none" w:sz="0" w:space="0" w:color="auto"/>
        <w:right w:val="none" w:sz="0" w:space="0" w:color="auto"/>
      </w:divBdr>
    </w:div>
    <w:div w:id="1011372063">
      <w:bodyDiv w:val="1"/>
      <w:marLeft w:val="0"/>
      <w:marRight w:val="0"/>
      <w:marTop w:val="0"/>
      <w:marBottom w:val="0"/>
      <w:divBdr>
        <w:top w:val="none" w:sz="0" w:space="0" w:color="auto"/>
        <w:left w:val="none" w:sz="0" w:space="0" w:color="auto"/>
        <w:bottom w:val="none" w:sz="0" w:space="0" w:color="auto"/>
        <w:right w:val="none" w:sz="0" w:space="0" w:color="auto"/>
      </w:divBdr>
    </w:div>
    <w:div w:id="1040587320">
      <w:bodyDiv w:val="1"/>
      <w:marLeft w:val="0"/>
      <w:marRight w:val="0"/>
      <w:marTop w:val="0"/>
      <w:marBottom w:val="0"/>
      <w:divBdr>
        <w:top w:val="none" w:sz="0" w:space="0" w:color="auto"/>
        <w:left w:val="none" w:sz="0" w:space="0" w:color="auto"/>
        <w:bottom w:val="none" w:sz="0" w:space="0" w:color="auto"/>
        <w:right w:val="none" w:sz="0" w:space="0" w:color="auto"/>
      </w:divBdr>
    </w:div>
    <w:div w:id="1045715858">
      <w:bodyDiv w:val="1"/>
      <w:marLeft w:val="0"/>
      <w:marRight w:val="0"/>
      <w:marTop w:val="0"/>
      <w:marBottom w:val="0"/>
      <w:divBdr>
        <w:top w:val="none" w:sz="0" w:space="0" w:color="auto"/>
        <w:left w:val="none" w:sz="0" w:space="0" w:color="auto"/>
        <w:bottom w:val="none" w:sz="0" w:space="0" w:color="auto"/>
        <w:right w:val="none" w:sz="0" w:space="0" w:color="auto"/>
      </w:divBdr>
    </w:div>
    <w:div w:id="1121001461">
      <w:bodyDiv w:val="1"/>
      <w:marLeft w:val="0"/>
      <w:marRight w:val="0"/>
      <w:marTop w:val="0"/>
      <w:marBottom w:val="0"/>
      <w:divBdr>
        <w:top w:val="none" w:sz="0" w:space="0" w:color="auto"/>
        <w:left w:val="none" w:sz="0" w:space="0" w:color="auto"/>
        <w:bottom w:val="none" w:sz="0" w:space="0" w:color="auto"/>
        <w:right w:val="none" w:sz="0" w:space="0" w:color="auto"/>
      </w:divBdr>
    </w:div>
    <w:div w:id="1148984222">
      <w:bodyDiv w:val="1"/>
      <w:marLeft w:val="0"/>
      <w:marRight w:val="0"/>
      <w:marTop w:val="0"/>
      <w:marBottom w:val="0"/>
      <w:divBdr>
        <w:top w:val="none" w:sz="0" w:space="0" w:color="auto"/>
        <w:left w:val="none" w:sz="0" w:space="0" w:color="auto"/>
        <w:bottom w:val="none" w:sz="0" w:space="0" w:color="auto"/>
        <w:right w:val="none" w:sz="0" w:space="0" w:color="auto"/>
      </w:divBdr>
    </w:div>
    <w:div w:id="1178690540">
      <w:bodyDiv w:val="1"/>
      <w:marLeft w:val="0"/>
      <w:marRight w:val="0"/>
      <w:marTop w:val="0"/>
      <w:marBottom w:val="0"/>
      <w:divBdr>
        <w:top w:val="none" w:sz="0" w:space="0" w:color="auto"/>
        <w:left w:val="none" w:sz="0" w:space="0" w:color="auto"/>
        <w:bottom w:val="none" w:sz="0" w:space="0" w:color="auto"/>
        <w:right w:val="none" w:sz="0" w:space="0" w:color="auto"/>
      </w:divBdr>
    </w:div>
    <w:div w:id="1212113325">
      <w:bodyDiv w:val="1"/>
      <w:marLeft w:val="0"/>
      <w:marRight w:val="0"/>
      <w:marTop w:val="0"/>
      <w:marBottom w:val="0"/>
      <w:divBdr>
        <w:top w:val="none" w:sz="0" w:space="0" w:color="auto"/>
        <w:left w:val="none" w:sz="0" w:space="0" w:color="auto"/>
        <w:bottom w:val="none" w:sz="0" w:space="0" w:color="auto"/>
        <w:right w:val="none" w:sz="0" w:space="0" w:color="auto"/>
      </w:divBdr>
    </w:div>
    <w:div w:id="1226375818">
      <w:bodyDiv w:val="1"/>
      <w:marLeft w:val="0"/>
      <w:marRight w:val="0"/>
      <w:marTop w:val="0"/>
      <w:marBottom w:val="0"/>
      <w:divBdr>
        <w:top w:val="none" w:sz="0" w:space="0" w:color="auto"/>
        <w:left w:val="none" w:sz="0" w:space="0" w:color="auto"/>
        <w:bottom w:val="none" w:sz="0" w:space="0" w:color="auto"/>
        <w:right w:val="none" w:sz="0" w:space="0" w:color="auto"/>
      </w:divBdr>
    </w:div>
    <w:div w:id="1298533387">
      <w:bodyDiv w:val="1"/>
      <w:marLeft w:val="0"/>
      <w:marRight w:val="0"/>
      <w:marTop w:val="0"/>
      <w:marBottom w:val="0"/>
      <w:divBdr>
        <w:top w:val="none" w:sz="0" w:space="0" w:color="auto"/>
        <w:left w:val="none" w:sz="0" w:space="0" w:color="auto"/>
        <w:bottom w:val="none" w:sz="0" w:space="0" w:color="auto"/>
        <w:right w:val="none" w:sz="0" w:space="0" w:color="auto"/>
      </w:divBdr>
    </w:div>
    <w:div w:id="1300766105">
      <w:bodyDiv w:val="1"/>
      <w:marLeft w:val="0"/>
      <w:marRight w:val="0"/>
      <w:marTop w:val="0"/>
      <w:marBottom w:val="0"/>
      <w:divBdr>
        <w:top w:val="none" w:sz="0" w:space="0" w:color="auto"/>
        <w:left w:val="none" w:sz="0" w:space="0" w:color="auto"/>
        <w:bottom w:val="none" w:sz="0" w:space="0" w:color="auto"/>
        <w:right w:val="none" w:sz="0" w:space="0" w:color="auto"/>
      </w:divBdr>
    </w:div>
    <w:div w:id="1438213354">
      <w:bodyDiv w:val="1"/>
      <w:marLeft w:val="0"/>
      <w:marRight w:val="0"/>
      <w:marTop w:val="0"/>
      <w:marBottom w:val="0"/>
      <w:divBdr>
        <w:top w:val="none" w:sz="0" w:space="0" w:color="auto"/>
        <w:left w:val="none" w:sz="0" w:space="0" w:color="auto"/>
        <w:bottom w:val="none" w:sz="0" w:space="0" w:color="auto"/>
        <w:right w:val="none" w:sz="0" w:space="0" w:color="auto"/>
      </w:divBdr>
    </w:div>
    <w:div w:id="1450315370">
      <w:bodyDiv w:val="1"/>
      <w:marLeft w:val="0"/>
      <w:marRight w:val="0"/>
      <w:marTop w:val="0"/>
      <w:marBottom w:val="0"/>
      <w:divBdr>
        <w:top w:val="none" w:sz="0" w:space="0" w:color="auto"/>
        <w:left w:val="none" w:sz="0" w:space="0" w:color="auto"/>
        <w:bottom w:val="none" w:sz="0" w:space="0" w:color="auto"/>
        <w:right w:val="none" w:sz="0" w:space="0" w:color="auto"/>
      </w:divBdr>
    </w:div>
    <w:div w:id="1520048542">
      <w:bodyDiv w:val="1"/>
      <w:marLeft w:val="0"/>
      <w:marRight w:val="0"/>
      <w:marTop w:val="0"/>
      <w:marBottom w:val="0"/>
      <w:divBdr>
        <w:top w:val="none" w:sz="0" w:space="0" w:color="auto"/>
        <w:left w:val="none" w:sz="0" w:space="0" w:color="auto"/>
        <w:bottom w:val="none" w:sz="0" w:space="0" w:color="auto"/>
        <w:right w:val="none" w:sz="0" w:space="0" w:color="auto"/>
      </w:divBdr>
    </w:div>
    <w:div w:id="1576551519">
      <w:bodyDiv w:val="1"/>
      <w:marLeft w:val="0"/>
      <w:marRight w:val="0"/>
      <w:marTop w:val="0"/>
      <w:marBottom w:val="0"/>
      <w:divBdr>
        <w:top w:val="none" w:sz="0" w:space="0" w:color="auto"/>
        <w:left w:val="none" w:sz="0" w:space="0" w:color="auto"/>
        <w:bottom w:val="none" w:sz="0" w:space="0" w:color="auto"/>
        <w:right w:val="none" w:sz="0" w:space="0" w:color="auto"/>
      </w:divBdr>
    </w:div>
    <w:div w:id="1633897951">
      <w:bodyDiv w:val="1"/>
      <w:marLeft w:val="0"/>
      <w:marRight w:val="0"/>
      <w:marTop w:val="0"/>
      <w:marBottom w:val="0"/>
      <w:divBdr>
        <w:top w:val="none" w:sz="0" w:space="0" w:color="auto"/>
        <w:left w:val="none" w:sz="0" w:space="0" w:color="auto"/>
        <w:bottom w:val="none" w:sz="0" w:space="0" w:color="auto"/>
        <w:right w:val="none" w:sz="0" w:space="0" w:color="auto"/>
      </w:divBdr>
    </w:div>
    <w:div w:id="1655256888">
      <w:bodyDiv w:val="1"/>
      <w:marLeft w:val="0"/>
      <w:marRight w:val="0"/>
      <w:marTop w:val="0"/>
      <w:marBottom w:val="0"/>
      <w:divBdr>
        <w:top w:val="none" w:sz="0" w:space="0" w:color="auto"/>
        <w:left w:val="none" w:sz="0" w:space="0" w:color="auto"/>
        <w:bottom w:val="none" w:sz="0" w:space="0" w:color="auto"/>
        <w:right w:val="none" w:sz="0" w:space="0" w:color="auto"/>
      </w:divBdr>
    </w:div>
    <w:div w:id="1694302588">
      <w:bodyDiv w:val="1"/>
      <w:marLeft w:val="0"/>
      <w:marRight w:val="0"/>
      <w:marTop w:val="0"/>
      <w:marBottom w:val="0"/>
      <w:divBdr>
        <w:top w:val="none" w:sz="0" w:space="0" w:color="auto"/>
        <w:left w:val="none" w:sz="0" w:space="0" w:color="auto"/>
        <w:bottom w:val="none" w:sz="0" w:space="0" w:color="auto"/>
        <w:right w:val="none" w:sz="0" w:space="0" w:color="auto"/>
      </w:divBdr>
    </w:div>
    <w:div w:id="1779370755">
      <w:bodyDiv w:val="1"/>
      <w:marLeft w:val="0"/>
      <w:marRight w:val="0"/>
      <w:marTop w:val="0"/>
      <w:marBottom w:val="0"/>
      <w:divBdr>
        <w:top w:val="none" w:sz="0" w:space="0" w:color="auto"/>
        <w:left w:val="none" w:sz="0" w:space="0" w:color="auto"/>
        <w:bottom w:val="none" w:sz="0" w:space="0" w:color="auto"/>
        <w:right w:val="none" w:sz="0" w:space="0" w:color="auto"/>
      </w:divBdr>
    </w:div>
    <w:div w:id="1810515710">
      <w:bodyDiv w:val="1"/>
      <w:marLeft w:val="0"/>
      <w:marRight w:val="0"/>
      <w:marTop w:val="0"/>
      <w:marBottom w:val="0"/>
      <w:divBdr>
        <w:top w:val="none" w:sz="0" w:space="0" w:color="auto"/>
        <w:left w:val="none" w:sz="0" w:space="0" w:color="auto"/>
        <w:bottom w:val="none" w:sz="0" w:space="0" w:color="auto"/>
        <w:right w:val="none" w:sz="0" w:space="0" w:color="auto"/>
      </w:divBdr>
    </w:div>
    <w:div w:id="1961574006">
      <w:bodyDiv w:val="1"/>
      <w:marLeft w:val="0"/>
      <w:marRight w:val="0"/>
      <w:marTop w:val="0"/>
      <w:marBottom w:val="0"/>
      <w:divBdr>
        <w:top w:val="none" w:sz="0" w:space="0" w:color="auto"/>
        <w:left w:val="none" w:sz="0" w:space="0" w:color="auto"/>
        <w:bottom w:val="none" w:sz="0" w:space="0" w:color="auto"/>
        <w:right w:val="none" w:sz="0" w:space="0" w:color="auto"/>
      </w:divBdr>
    </w:div>
    <w:div w:id="2019428002">
      <w:bodyDiv w:val="1"/>
      <w:marLeft w:val="0"/>
      <w:marRight w:val="0"/>
      <w:marTop w:val="0"/>
      <w:marBottom w:val="0"/>
      <w:divBdr>
        <w:top w:val="none" w:sz="0" w:space="0" w:color="auto"/>
        <w:left w:val="none" w:sz="0" w:space="0" w:color="auto"/>
        <w:bottom w:val="none" w:sz="0" w:space="0" w:color="auto"/>
        <w:right w:val="none" w:sz="0" w:space="0" w:color="auto"/>
      </w:divBdr>
    </w:div>
    <w:div w:id="2076122148">
      <w:bodyDiv w:val="1"/>
      <w:marLeft w:val="0"/>
      <w:marRight w:val="0"/>
      <w:marTop w:val="0"/>
      <w:marBottom w:val="0"/>
      <w:divBdr>
        <w:top w:val="none" w:sz="0" w:space="0" w:color="auto"/>
        <w:left w:val="none" w:sz="0" w:space="0" w:color="auto"/>
        <w:bottom w:val="none" w:sz="0" w:space="0" w:color="auto"/>
        <w:right w:val="none" w:sz="0" w:space="0" w:color="auto"/>
      </w:divBdr>
    </w:div>
    <w:div w:id="211046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B3741-FCC1-43A1-B65D-565A727CB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E8078CF8.dotm</Template>
  <TotalTime>0</TotalTime>
  <Pages>26</Pages>
  <Words>5821</Words>
  <Characters>33182</Characters>
  <Application>Microsoft Office Word</Application>
  <DocSecurity>4</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38926</CharactersWithSpaces>
  <SharedDoc>false</SharedDoc>
  <HLinks>
    <vt:vector size="6" baseType="variant">
      <vt:variant>
        <vt:i4>2162732</vt:i4>
      </vt:variant>
      <vt:variant>
        <vt:i4>0</vt:i4>
      </vt:variant>
      <vt:variant>
        <vt:i4>0</vt:i4>
      </vt:variant>
      <vt:variant>
        <vt:i4>5</vt:i4>
      </vt:variant>
      <vt:variant>
        <vt:lpwstr>http://mycouncil.oxford.gov.uk/ieListDocuments.aspx?CId=527&amp;MId=5339&amp;Ver=4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Sarah.Claridge</dc:creator>
  <cp:lastModifiedBy>THOMPSON Jennifer</cp:lastModifiedBy>
  <cp:revision>2</cp:revision>
  <cp:lastPrinted>2019-11-11T15:41:00Z</cp:lastPrinted>
  <dcterms:created xsi:type="dcterms:W3CDTF">2021-02-08T17:46:00Z</dcterms:created>
  <dcterms:modified xsi:type="dcterms:W3CDTF">2021-02-08T17:46:00Z</dcterms:modified>
</cp:coreProperties>
</file>